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1D5B7"/>
    <w:p w14:paraId="1B674B6C"/>
    <w:p w14:paraId="7C1B98B0"/>
    <w:p w14:paraId="01FF136B"/>
    <w:p w14:paraId="1509EDD8">
      <w:pPr>
        <w:jc w:val="center"/>
      </w:pPr>
      <w:r>
        <w:rPr>
          <w:rFonts w:ascii="Times New Roman" w:hAnsi="Times New Roman" w:eastAsia="黑体"/>
          <w:b/>
          <w:sz w:val="48"/>
        </w:rPr>
        <w:t>软件著作权登记材料</w:t>
      </w:r>
    </w:p>
    <w:p w14:paraId="2938D0E6">
      <w:pPr>
        <w:jc w:val="center"/>
      </w:pPr>
      <w:r>
        <w:rPr>
          <w:rFonts w:ascii="Times New Roman" w:hAnsi="Times New Roman" w:eastAsia="黑体"/>
          <w:b/>
          <w:sz w:val="40"/>
        </w:rPr>
        <w:t>基于多模态数据融合的水体浊度预测系统V1.0</w:t>
      </w:r>
    </w:p>
    <w:p w14:paraId="4991F5B3">
      <w:pPr>
        <w:jc w:val="center"/>
      </w:pPr>
      <w:r>
        <w:rPr>
          <w:rFonts w:ascii="Times New Roman" w:hAnsi="Times New Roman" w:eastAsia="宋体"/>
          <w:sz w:val="32"/>
        </w:rPr>
        <w:t>软件说明书 / 设计说明书</w:t>
      </w:r>
    </w:p>
    <w:p w14:paraId="2F5E84CE"/>
    <w:p w14:paraId="46B365ED"/>
    <w:p w14:paraId="285F0123"/>
    <w:p w14:paraId="0CC056C7"/>
    <w:p w14:paraId="675F1936"/>
    <w:p w14:paraId="45A6FF8F"/>
    <w:p w14:paraId="2A19061E"/>
    <w:p w14:paraId="07494EDC"/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4D80C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A5BED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软件名称</w:t>
            </w:r>
          </w:p>
        </w:tc>
        <w:tc>
          <w:tcPr>
            <w:tcW w:w="4618" w:type="dxa"/>
            <w:vAlign w:val="center"/>
          </w:tcPr>
          <w:p w14:paraId="3C464A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781535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7CBF22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2D7941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50AC36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397EE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文档类型</w:t>
            </w:r>
          </w:p>
        </w:tc>
        <w:tc>
          <w:tcPr>
            <w:tcW w:w="4618" w:type="dxa"/>
            <w:vAlign w:val="center"/>
          </w:tcPr>
          <w:p w14:paraId="3597DA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软件著作权登记说明书</w:t>
            </w:r>
          </w:p>
        </w:tc>
      </w:tr>
      <w:tr w14:paraId="64C4A6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600979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完成日期</w:t>
            </w:r>
          </w:p>
        </w:tc>
        <w:tc>
          <w:tcPr>
            <w:tcW w:w="4618" w:type="dxa"/>
            <w:vAlign w:val="center"/>
          </w:tcPr>
          <w:p w14:paraId="439CDC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2026年5月</w:t>
            </w:r>
          </w:p>
        </w:tc>
      </w:tr>
    </w:tbl>
    <w:p w14:paraId="67BF0BBA"/>
    <w:p w14:paraId="16CE2D6F">
      <w:r>
        <w:br w:type="page"/>
      </w:r>
    </w:p>
    <w:p w14:paraId="548D5678">
      <w:pPr>
        <w:pStyle w:val="3"/>
        <w:spacing w:before="200" w:after="120"/>
      </w:pPr>
      <w:r>
        <w:t>目 录</w:t>
      </w:r>
    </w:p>
    <w:p w14:paraId="5CB15007">
      <w:pPr>
        <w:spacing w:after="20"/>
        <w:ind w:left="283"/>
      </w:pPr>
      <w:r>
        <w:rPr>
          <w:rFonts w:ascii="Times New Roman" w:hAnsi="Times New Roman" w:eastAsia="宋体"/>
          <w:sz w:val="21"/>
        </w:rPr>
        <w:t>1 软件概述</w:t>
      </w:r>
    </w:p>
    <w:p w14:paraId="2B013462">
      <w:pPr>
        <w:spacing w:after="20"/>
        <w:ind w:left="283"/>
      </w:pPr>
      <w:r>
        <w:rPr>
          <w:rFonts w:ascii="Times New Roman" w:hAnsi="Times New Roman" w:eastAsia="宋体"/>
          <w:sz w:val="21"/>
        </w:rPr>
        <w:t>1.1 软件名称及版本</w:t>
      </w:r>
    </w:p>
    <w:p w14:paraId="7AE82396">
      <w:pPr>
        <w:spacing w:after="20"/>
        <w:ind w:left="283"/>
      </w:pPr>
      <w:r>
        <w:rPr>
          <w:rFonts w:ascii="Times New Roman" w:hAnsi="Times New Roman" w:eastAsia="宋体"/>
          <w:sz w:val="21"/>
        </w:rPr>
        <w:t>1.2 开发背景</w:t>
      </w:r>
    </w:p>
    <w:p w14:paraId="0A577FD4">
      <w:pPr>
        <w:spacing w:after="20"/>
        <w:ind w:left="283"/>
      </w:pPr>
      <w:r>
        <w:rPr>
          <w:rFonts w:ascii="Times New Roman" w:hAnsi="Times New Roman" w:eastAsia="宋体"/>
          <w:sz w:val="21"/>
        </w:rPr>
        <w:t>1.3 建设目标</w:t>
      </w:r>
    </w:p>
    <w:p w14:paraId="7EDB6011">
      <w:pPr>
        <w:spacing w:after="20"/>
        <w:ind w:left="283"/>
      </w:pPr>
      <w:r>
        <w:rPr>
          <w:rFonts w:ascii="Times New Roman" w:hAnsi="Times New Roman" w:eastAsia="宋体"/>
          <w:sz w:val="21"/>
        </w:rPr>
        <w:t>1.4 适用对象</w:t>
      </w:r>
    </w:p>
    <w:p w14:paraId="081E6AB5">
      <w:pPr>
        <w:spacing w:after="20"/>
        <w:ind w:left="283"/>
      </w:pPr>
      <w:r>
        <w:rPr>
          <w:rFonts w:ascii="Times New Roman" w:hAnsi="Times New Roman" w:eastAsia="宋体"/>
          <w:sz w:val="21"/>
        </w:rPr>
        <w:t>2 系统总体设计</w:t>
      </w:r>
    </w:p>
    <w:p w14:paraId="52E0A432">
      <w:pPr>
        <w:spacing w:after="20"/>
        <w:ind w:left="283"/>
      </w:pPr>
      <w:r>
        <w:rPr>
          <w:rFonts w:ascii="Times New Roman" w:hAnsi="Times New Roman" w:eastAsia="宋体"/>
          <w:sz w:val="21"/>
        </w:rPr>
        <w:t>2.1 总体架构</w:t>
      </w:r>
    </w:p>
    <w:p w14:paraId="41CCF95A">
      <w:pPr>
        <w:spacing w:after="20"/>
        <w:ind w:left="283"/>
      </w:pPr>
      <w:r>
        <w:rPr>
          <w:rFonts w:ascii="Times New Roman" w:hAnsi="Times New Roman" w:eastAsia="宋体"/>
          <w:sz w:val="21"/>
        </w:rPr>
        <w:t>2.2 技术路线</w:t>
      </w:r>
    </w:p>
    <w:p w14:paraId="1C788900">
      <w:pPr>
        <w:spacing w:after="20"/>
        <w:ind w:left="283"/>
      </w:pPr>
      <w:r>
        <w:rPr>
          <w:rFonts w:ascii="Times New Roman" w:hAnsi="Times New Roman" w:eastAsia="宋体"/>
          <w:sz w:val="21"/>
        </w:rPr>
        <w:t>2.3 系统部署结构</w:t>
      </w:r>
    </w:p>
    <w:p w14:paraId="60B114DC">
      <w:pPr>
        <w:spacing w:after="20"/>
        <w:ind w:left="283"/>
      </w:pPr>
      <w:r>
        <w:rPr>
          <w:rFonts w:ascii="Times New Roman" w:hAnsi="Times New Roman" w:eastAsia="宋体"/>
          <w:sz w:val="21"/>
        </w:rPr>
        <w:t>3 功能模块设计</w:t>
      </w:r>
    </w:p>
    <w:p w14:paraId="093D776E">
      <w:pPr>
        <w:spacing w:after="20"/>
        <w:ind w:left="283"/>
      </w:pPr>
      <w:r>
        <w:rPr>
          <w:rFonts w:ascii="Times New Roman" w:hAnsi="Times New Roman" w:eastAsia="宋体"/>
          <w:sz w:val="21"/>
        </w:rPr>
        <w:t>3.1 多源异构水质数据融合与管理模块</w:t>
      </w:r>
    </w:p>
    <w:p w14:paraId="3CBB0528">
      <w:pPr>
        <w:spacing w:after="20"/>
        <w:ind w:left="283"/>
      </w:pPr>
      <w:r>
        <w:rPr>
          <w:rFonts w:ascii="Times New Roman" w:hAnsi="Times New Roman" w:eastAsia="宋体"/>
          <w:sz w:val="21"/>
        </w:rPr>
        <w:t>3.2 水质多维数据可视化与交互模块</w:t>
      </w:r>
    </w:p>
    <w:p w14:paraId="6BFEEFEC">
      <w:pPr>
        <w:spacing w:after="20"/>
        <w:ind w:left="283"/>
      </w:pPr>
      <w:r>
        <w:rPr>
          <w:rFonts w:ascii="Times New Roman" w:hAnsi="Times New Roman" w:eastAsia="宋体"/>
          <w:sz w:val="21"/>
        </w:rPr>
        <w:t>3.3 水体浊度动态预测与模拟模块</w:t>
      </w:r>
    </w:p>
    <w:p w14:paraId="204B7707">
      <w:pPr>
        <w:spacing w:after="20"/>
        <w:ind w:left="283"/>
      </w:pPr>
      <w:r>
        <w:rPr>
          <w:rFonts w:ascii="Times New Roman" w:hAnsi="Times New Roman" w:eastAsia="宋体"/>
          <w:sz w:val="21"/>
        </w:rPr>
        <w:t>3.4 致浊因子因果诊断与归因分析模块</w:t>
      </w:r>
    </w:p>
    <w:p w14:paraId="5B61939E">
      <w:pPr>
        <w:spacing w:after="20"/>
        <w:ind w:left="283"/>
      </w:pPr>
      <w:r>
        <w:rPr>
          <w:rFonts w:ascii="Times New Roman" w:hAnsi="Times New Roman" w:eastAsia="宋体"/>
          <w:sz w:val="21"/>
        </w:rPr>
        <w:t>4 数据库与数据处理设计</w:t>
      </w:r>
    </w:p>
    <w:p w14:paraId="5F41F202">
      <w:pPr>
        <w:spacing w:after="20"/>
        <w:ind w:left="283"/>
      </w:pPr>
      <w:r>
        <w:rPr>
          <w:rFonts w:ascii="Times New Roman" w:hAnsi="Times New Roman" w:eastAsia="宋体"/>
          <w:sz w:val="21"/>
        </w:rPr>
        <w:t>4.1 数据类型与字段范围</w:t>
      </w:r>
    </w:p>
    <w:p w14:paraId="7610F191">
      <w:pPr>
        <w:spacing w:after="20"/>
        <w:ind w:left="283"/>
      </w:pPr>
      <w:r>
        <w:rPr>
          <w:rFonts w:ascii="Times New Roman" w:hAnsi="Times New Roman" w:eastAsia="宋体"/>
          <w:sz w:val="21"/>
        </w:rPr>
        <w:t>4.2 数据接入与清洗规则</w:t>
      </w:r>
    </w:p>
    <w:p w14:paraId="01D06066">
      <w:pPr>
        <w:spacing w:after="20"/>
        <w:ind w:left="283"/>
      </w:pPr>
      <w:r>
        <w:rPr>
          <w:rFonts w:ascii="Times New Roman" w:hAnsi="Times New Roman" w:eastAsia="宋体"/>
          <w:sz w:val="21"/>
        </w:rPr>
        <w:t>4.3 标准化存储方案</w:t>
      </w:r>
    </w:p>
    <w:p w14:paraId="288FF6DC">
      <w:pPr>
        <w:spacing w:after="20"/>
        <w:ind w:left="283"/>
      </w:pPr>
      <w:r>
        <w:rPr>
          <w:rFonts w:ascii="Times New Roman" w:hAnsi="Times New Roman" w:eastAsia="宋体"/>
          <w:sz w:val="21"/>
        </w:rPr>
        <w:t>5 算法模型设计</w:t>
      </w:r>
    </w:p>
    <w:p w14:paraId="350B82EC">
      <w:pPr>
        <w:spacing w:after="20"/>
        <w:ind w:left="283"/>
      </w:pPr>
      <w:r>
        <w:rPr>
          <w:rFonts w:ascii="Times New Roman" w:hAnsi="Times New Roman" w:eastAsia="宋体"/>
          <w:sz w:val="21"/>
        </w:rPr>
        <w:t>5.1 MSCIM浊度预测模型流程</w:t>
      </w:r>
    </w:p>
    <w:p w14:paraId="69068678">
      <w:pPr>
        <w:spacing w:after="20"/>
        <w:ind w:left="283"/>
      </w:pPr>
      <w:r>
        <w:rPr>
          <w:rFonts w:ascii="Times New Roman" w:hAnsi="Times New Roman" w:eastAsia="宋体"/>
          <w:sz w:val="21"/>
        </w:rPr>
        <w:t>5.2 模型训练与预测流程</w:t>
      </w:r>
    </w:p>
    <w:p w14:paraId="0E90D8B4">
      <w:pPr>
        <w:spacing w:after="20"/>
        <w:ind w:left="283"/>
      </w:pPr>
      <w:r>
        <w:rPr>
          <w:rFonts w:ascii="Times New Roman" w:hAnsi="Times New Roman" w:eastAsia="宋体"/>
          <w:sz w:val="21"/>
        </w:rPr>
        <w:t>5.3 预测结果评估</w:t>
      </w:r>
    </w:p>
    <w:p w14:paraId="694F9D00">
      <w:pPr>
        <w:spacing w:after="20"/>
        <w:ind w:left="283"/>
      </w:pPr>
      <w:r>
        <w:rPr>
          <w:rFonts w:ascii="Times New Roman" w:hAnsi="Times New Roman" w:eastAsia="宋体"/>
          <w:sz w:val="21"/>
        </w:rPr>
        <w:t>6 软件操作说明</w:t>
      </w:r>
    </w:p>
    <w:p w14:paraId="61218DB3">
      <w:pPr>
        <w:spacing w:after="20"/>
        <w:ind w:left="283"/>
      </w:pPr>
      <w:r>
        <w:rPr>
          <w:rFonts w:ascii="Times New Roman" w:hAnsi="Times New Roman" w:eastAsia="宋体"/>
          <w:sz w:val="21"/>
        </w:rPr>
        <w:t>6.1 用户登录与权限管理</w:t>
      </w:r>
    </w:p>
    <w:p w14:paraId="540C9224">
      <w:pPr>
        <w:spacing w:after="20"/>
        <w:ind w:left="283"/>
      </w:pPr>
      <w:r>
        <w:rPr>
          <w:rFonts w:ascii="Times New Roman" w:hAnsi="Times New Roman" w:eastAsia="宋体"/>
          <w:sz w:val="21"/>
        </w:rPr>
        <w:t>6.2 数据管理操作</w:t>
      </w:r>
    </w:p>
    <w:p w14:paraId="7D638BC5">
      <w:pPr>
        <w:spacing w:after="20"/>
        <w:ind w:left="283"/>
      </w:pPr>
      <w:r>
        <w:rPr>
          <w:rFonts w:ascii="Times New Roman" w:hAnsi="Times New Roman" w:eastAsia="宋体"/>
          <w:sz w:val="21"/>
        </w:rPr>
        <w:t>6.3 可视化查询操作</w:t>
      </w:r>
    </w:p>
    <w:p w14:paraId="1FFBF3DA">
      <w:pPr>
        <w:spacing w:after="20"/>
        <w:ind w:left="283"/>
      </w:pPr>
      <w:r>
        <w:rPr>
          <w:rFonts w:ascii="Times New Roman" w:hAnsi="Times New Roman" w:eastAsia="宋体"/>
          <w:sz w:val="21"/>
        </w:rPr>
        <w:t>6.4 浊度预测操作</w:t>
      </w:r>
    </w:p>
    <w:p w14:paraId="7BB66AA5">
      <w:pPr>
        <w:spacing w:after="20"/>
        <w:ind w:left="283"/>
      </w:pPr>
      <w:r>
        <w:rPr>
          <w:rFonts w:ascii="Times New Roman" w:hAnsi="Times New Roman" w:eastAsia="宋体"/>
          <w:sz w:val="21"/>
        </w:rPr>
        <w:t>6.5 诊断报告输出</w:t>
      </w:r>
    </w:p>
    <w:p w14:paraId="182D4EC7">
      <w:pPr>
        <w:spacing w:after="20"/>
        <w:ind w:left="283"/>
      </w:pPr>
      <w:r>
        <w:rPr>
          <w:rFonts w:ascii="Times New Roman" w:hAnsi="Times New Roman" w:eastAsia="宋体"/>
          <w:sz w:val="21"/>
        </w:rPr>
        <w:t>7 系统安全与异常处理</w:t>
      </w:r>
    </w:p>
    <w:p w14:paraId="3C4C8E9D">
      <w:pPr>
        <w:spacing w:after="20"/>
        <w:ind w:left="283"/>
      </w:pPr>
      <w:r>
        <w:rPr>
          <w:rFonts w:ascii="Times New Roman" w:hAnsi="Times New Roman" w:eastAsia="宋体"/>
          <w:sz w:val="21"/>
        </w:rPr>
        <w:t>8 软件特点与应用价值</w:t>
      </w:r>
    </w:p>
    <w:p w14:paraId="0B66A5D3">
      <w:pPr>
        <w:spacing w:after="20"/>
        <w:ind w:left="283"/>
      </w:pPr>
      <w:r>
        <w:rPr>
          <w:rFonts w:ascii="Times New Roman" w:hAnsi="Times New Roman" w:eastAsia="宋体"/>
          <w:sz w:val="21"/>
        </w:rPr>
        <w:t>9 软著登记信息建议</w:t>
      </w:r>
    </w:p>
    <w:p w14:paraId="48521BCF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附录A 软件主要界面说明</w:t>
      </w:r>
    </w:p>
    <w:p w14:paraId="33B8F953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附录B 源程序目录结构建议</w:t>
      </w:r>
    </w:p>
    <w:p w14:paraId="0114D34E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附录C 版本更新记录</w:t>
      </w:r>
    </w:p>
    <w:p w14:paraId="2BB57354">
      <w:r>
        <w:br w:type="page"/>
      </w:r>
    </w:p>
    <w:p w14:paraId="1DFDD68A">
      <w:pPr>
        <w:pStyle w:val="3"/>
        <w:spacing w:before="200" w:after="120"/>
      </w:pPr>
      <w:r>
        <w:t>1 软件概述</w:t>
      </w:r>
    </w:p>
    <w:p w14:paraId="7C11123F">
      <w:pPr>
        <w:pStyle w:val="4"/>
        <w:spacing w:before="120" w:after="120"/>
      </w:pPr>
      <w:r>
        <w:t>1.1 软件名称及版本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FF7EB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42D5D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软件全称</w:t>
            </w:r>
          </w:p>
        </w:tc>
        <w:tc>
          <w:tcPr>
            <w:tcW w:w="4618" w:type="dxa"/>
            <w:vAlign w:val="center"/>
          </w:tcPr>
          <w:p w14:paraId="55EA87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2CA15F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19E155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软件简称</w:t>
            </w:r>
          </w:p>
        </w:tc>
        <w:tc>
          <w:tcPr>
            <w:tcW w:w="4618" w:type="dxa"/>
            <w:vAlign w:val="center"/>
          </w:tcPr>
          <w:p w14:paraId="2FB198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水体浊度预测系统</w:t>
            </w:r>
          </w:p>
        </w:tc>
      </w:tr>
      <w:tr w14:paraId="545F5F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1C70F1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20F3AF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61F457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E6272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软件类型</w:t>
            </w:r>
          </w:p>
        </w:tc>
        <w:tc>
          <w:tcPr>
            <w:tcW w:w="4618" w:type="dxa"/>
            <w:vAlign w:val="center"/>
          </w:tcPr>
          <w:p w14:paraId="37D3CC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数据处理、智能预测与水环境辅助分析类软件</w:t>
            </w:r>
          </w:p>
        </w:tc>
      </w:tr>
      <w:tr w14:paraId="142056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8B804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运行模式</w:t>
            </w:r>
          </w:p>
        </w:tc>
        <w:tc>
          <w:tcPr>
            <w:tcW w:w="4618" w:type="dxa"/>
            <w:vAlign w:val="center"/>
          </w:tcPr>
          <w:p w14:paraId="5FA989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B/S架构为主，支持服务端集中部署与浏览器端访问</w:t>
            </w:r>
          </w:p>
        </w:tc>
      </w:tr>
    </w:tbl>
    <w:p w14:paraId="6F4F2FD2"/>
    <w:p w14:paraId="5E9E936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面向河口、湖泊、河道及近岸水域的浊度监测、预测和成因分析需求，围绕多源异构水质数据接入、数据治理、预测建模、可视化分析和致浊因子归因诊断建立一体化软件系统。软件以水质监测数据为基础，融合气象、水文、水利调度、空间站点等多模态信息，通过MSCIM浊度预测模型对目标水域未来或指定时段的浊度变化进行动态模拟，并以图表、地图、报告等形式输出分析结果。</w:t>
      </w:r>
    </w:p>
    <w:p w14:paraId="3EBEEEB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本版本为V1.0，重点实现数据接入管理、综合数据库构建、浊度预测模拟、实测—预测对比、时序趋势展示、站点空间分布展示、致浊因子识别和归因报告输出等功能。</w:t>
      </w:r>
    </w:p>
    <w:p w14:paraId="18B0548E">
      <w:pPr>
        <w:pStyle w:val="4"/>
        <w:spacing w:before="120" w:after="120"/>
      </w:pPr>
      <w:r>
        <w:t>1.2 开发背景</w:t>
      </w:r>
    </w:p>
    <w:p w14:paraId="21DBD6C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水体浊度受悬浮泥沙、降雨径流、潮汐水动力、风速风向、上游来水、工程调度和季节性气象条件等因素共同影响，单一水质指标难以完整解释浊度波动过程。传统监测系统通常偏重数据展示，缺少对多源信息的统一管理、关联分析和预测模拟能力，导致管理人员只能看到“浊度发生变化”，但难以及时判断“为何变化、变化趋势如何、主要影响因子是什么”。</w:t>
      </w:r>
    </w:p>
    <w:p w14:paraId="454FD66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针对上述问题，采用多模态数据融合思路，将水质、气象、水文、水利和空间站点数据纳入统一数据底座，在算法层引入MSCIM浊度预测模型，并结合因果推断与知识图谱方法对致浊过程进行辅助解释，从而实现由数据汇聚向预测预警、机制解释和辅助决策的延伸。</w:t>
      </w:r>
    </w:p>
    <w:p w14:paraId="62A8A737">
      <w:pPr>
        <w:pStyle w:val="4"/>
        <w:spacing w:before="120" w:after="120"/>
      </w:pPr>
      <w:r>
        <w:t>1.3 建设目标</w:t>
      </w:r>
    </w:p>
    <w:p w14:paraId="299C0FA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建立多源异构水环境数据接入和标准化管理能力，形成可持续更新的多模态水质综合数据库。</w:t>
      </w:r>
    </w:p>
    <w:p w14:paraId="30B49D2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构建面向水体浊度的动态预测模型，实现目标区域浊度预测值与实测值的对比分析。</w:t>
      </w:r>
    </w:p>
    <w:p w14:paraId="3C7B7CF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提供面向业务人员的可视化看板、交互查询、时间序列趋势分析和站点空间分布展示功能。</w:t>
      </w:r>
    </w:p>
    <w:p w14:paraId="2DAE8E0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结合因果推断与知识图谱技术，输出致浊因子诊断结果，辅助解释水体浑浊形成机制。</w:t>
      </w:r>
    </w:p>
    <w:p w14:paraId="78995A50">
      <w:pPr>
        <w:pStyle w:val="4"/>
        <w:spacing w:before="120" w:after="120"/>
      </w:pPr>
      <w:r>
        <w:t>1.4 适用对象</w:t>
      </w:r>
    </w:p>
    <w:p w14:paraId="58FDF15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适用于水环境监测机构、科研院所、生态环境管理部门、水利调度单位及从事水质预测、水动力分析、河口浊度变化研究的技术人员。用户可通过浏览器登录系统，完成数据导入、数据检索、图表查看、模型预测、结果对比和诊断报告下载等操作。</w:t>
      </w:r>
    </w:p>
    <w:p w14:paraId="5F6C726D">
      <w:pPr>
        <w:pStyle w:val="3"/>
        <w:spacing w:before="200" w:after="120"/>
      </w:pPr>
      <w:r>
        <w:t>2 系统总体设计</w:t>
      </w:r>
    </w:p>
    <w:p w14:paraId="11441897">
      <w:pPr>
        <w:pStyle w:val="4"/>
        <w:spacing w:before="120" w:after="120"/>
      </w:pPr>
      <w:r>
        <w:t>2.1 总体架构</w:t>
      </w:r>
    </w:p>
    <w:p w14:paraId="6BDA96F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采用“数据层—算法层—应用层”的三层架构。数据层负责多源异构数据接入、清洗、标准化处理和统一存储；算法层负责特征构建、MSCIM浊度预测、因果诊断和知识图谱关联推理；应用层负责可视化看板、交互查询、预测对比和报告输出。整体运行逻辑为：多源数据采集 → 数据清洗与标准化 → 多模态特征融合 → 模型预测与因果归因 → 可视化展示与报告输出。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EB274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A236F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4D623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组成内容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C221B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主要功能</w:t>
            </w:r>
          </w:p>
        </w:tc>
      </w:tr>
      <w:tr w14:paraId="5D7545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17E63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数据层</w:t>
            </w:r>
          </w:p>
        </w:tc>
        <w:tc>
          <w:tcPr>
            <w:tcW w:w="3079" w:type="dxa"/>
            <w:vAlign w:val="center"/>
          </w:tcPr>
          <w:p w14:paraId="664311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水质数据、气象数据、水文数据、水利调度数据、站点空间数据；时序库、关系库、图数据库</w:t>
            </w:r>
          </w:p>
        </w:tc>
        <w:tc>
          <w:tcPr>
            <w:tcW w:w="3079" w:type="dxa"/>
            <w:vAlign w:val="center"/>
          </w:tcPr>
          <w:p w14:paraId="0FA2FC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完成数据接入、清洗、格式统一、缺失值处理、异常值识别、入库存储和历史记录管理</w:t>
            </w:r>
          </w:p>
        </w:tc>
      </w:tr>
      <w:tr w14:paraId="0FB3FB8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DB6E4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算法层</w:t>
            </w:r>
          </w:p>
        </w:tc>
        <w:tc>
          <w:tcPr>
            <w:tcW w:w="3079" w:type="dxa"/>
            <w:vAlign w:val="center"/>
          </w:tcPr>
          <w:p w14:paraId="51C321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MSCIM浊度预测模型、因果推断模块、知识图谱模块、模型评估模块</w:t>
            </w:r>
          </w:p>
        </w:tc>
        <w:tc>
          <w:tcPr>
            <w:tcW w:w="3079" w:type="dxa"/>
            <w:vAlign w:val="center"/>
          </w:tcPr>
          <w:p w14:paraId="55D158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完成多模态特征融合、浊度预测、预测误差分析、致浊因子识别和归因解释</w:t>
            </w:r>
          </w:p>
        </w:tc>
      </w:tr>
      <w:tr w14:paraId="797ACB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3F03D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w="3079" w:type="dxa"/>
            <w:vAlign w:val="center"/>
          </w:tcPr>
          <w:p w14:paraId="2C8E69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可视化看板、交互查询、预测对比、诊断报告、用户权限</w:t>
            </w:r>
          </w:p>
        </w:tc>
        <w:tc>
          <w:tcPr>
            <w:tcW w:w="3079" w:type="dxa"/>
            <w:vAlign w:val="center"/>
          </w:tcPr>
          <w:p w14:paraId="5F906B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完成数据查询、趋势展示、地图展示、预测任务配置、报告下载和系统管理</w:t>
            </w:r>
          </w:p>
        </w:tc>
      </w:tr>
    </w:tbl>
    <w:p w14:paraId="17E5DE9C"/>
    <w:p w14:paraId="7A6E32C5">
      <w:pPr>
        <w:pStyle w:val="4"/>
        <w:spacing w:before="120" w:after="120"/>
      </w:pPr>
      <w:r>
        <w:t>2.2 技术路线</w:t>
      </w:r>
    </w:p>
    <w:p w14:paraId="4CB4830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软件技术路线以“数据治理—特征融合—预测模拟—因果解释”为主线。系统首先接入不同来源、不同频率、不同格式的数据，然后通过时间对齐、空间匹配、单位换算和异常检测形成统一数据表；随后将水质、气象、水文和水利因子组合成多模态特征输入MSCIM模型；模型输出指定区域与指定时间范围内的浊度预测结果；最后系统将预测结果与实测数据进行对比，并利用因果推断和知识图谱输出主要致浊因子及解释性诊断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725313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shd w:val="clear" w:color="auto" w:fill="D9EAF7"/>
            <w:vAlign w:val="center"/>
          </w:tcPr>
          <w:p w14:paraId="290630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22240A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74142A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66C38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</w:tr>
      <w:tr w14:paraId="001F43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0A74A6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 数据接入</w:t>
            </w:r>
          </w:p>
        </w:tc>
        <w:tc>
          <w:tcPr>
            <w:tcW w:w="2309" w:type="dxa"/>
            <w:vAlign w:val="center"/>
          </w:tcPr>
          <w:p w14:paraId="7248CC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监测站点数据、气象数据、水文数据、水利数据</w:t>
            </w:r>
          </w:p>
        </w:tc>
        <w:tc>
          <w:tcPr>
            <w:tcW w:w="2309" w:type="dxa"/>
            <w:vAlign w:val="center"/>
          </w:tcPr>
          <w:p w14:paraId="53A7F5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接口采集、文件导入、字段映射</w:t>
            </w:r>
          </w:p>
        </w:tc>
        <w:tc>
          <w:tcPr>
            <w:tcW w:w="2309" w:type="dxa"/>
            <w:vAlign w:val="center"/>
          </w:tcPr>
          <w:p w14:paraId="120238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原始数据记录</w:t>
            </w:r>
          </w:p>
        </w:tc>
      </w:tr>
      <w:tr w14:paraId="6BC0AE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0A113F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 数据治理</w:t>
            </w:r>
          </w:p>
        </w:tc>
        <w:tc>
          <w:tcPr>
            <w:tcW w:w="2309" w:type="dxa"/>
            <w:vAlign w:val="center"/>
          </w:tcPr>
          <w:p w14:paraId="03F9F5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原始数据记录</w:t>
            </w:r>
          </w:p>
        </w:tc>
        <w:tc>
          <w:tcPr>
            <w:tcW w:w="2309" w:type="dxa"/>
            <w:vAlign w:val="center"/>
          </w:tcPr>
          <w:p w14:paraId="4F578D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去重、补缺、异常值处理、时间空间对齐</w:t>
            </w:r>
          </w:p>
        </w:tc>
        <w:tc>
          <w:tcPr>
            <w:tcW w:w="2309" w:type="dxa"/>
            <w:vAlign w:val="center"/>
          </w:tcPr>
          <w:p w14:paraId="49A27F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标准化数据集</w:t>
            </w:r>
          </w:p>
        </w:tc>
      </w:tr>
      <w:tr w14:paraId="25F488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113376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 特征融合</w:t>
            </w:r>
          </w:p>
        </w:tc>
        <w:tc>
          <w:tcPr>
            <w:tcW w:w="2309" w:type="dxa"/>
            <w:vAlign w:val="center"/>
          </w:tcPr>
          <w:p w14:paraId="1144D6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标准化水质、水文、气象、水利数据</w:t>
            </w:r>
          </w:p>
        </w:tc>
        <w:tc>
          <w:tcPr>
            <w:tcW w:w="2309" w:type="dxa"/>
            <w:vAlign w:val="center"/>
          </w:tcPr>
          <w:p w14:paraId="39CD54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构造时序特征、滞后特征、空间关联特征</w:t>
            </w:r>
          </w:p>
        </w:tc>
        <w:tc>
          <w:tcPr>
            <w:tcW w:w="2309" w:type="dxa"/>
            <w:vAlign w:val="center"/>
          </w:tcPr>
          <w:p w14:paraId="3109AE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多模态特征矩阵</w:t>
            </w:r>
          </w:p>
        </w:tc>
      </w:tr>
      <w:tr w14:paraId="7CA149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4EB6F3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 模型预测</w:t>
            </w:r>
          </w:p>
        </w:tc>
        <w:tc>
          <w:tcPr>
            <w:tcW w:w="2309" w:type="dxa"/>
            <w:vAlign w:val="center"/>
          </w:tcPr>
          <w:p w14:paraId="69EC77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多模态特征矩阵</w:t>
            </w:r>
          </w:p>
        </w:tc>
        <w:tc>
          <w:tcPr>
            <w:tcW w:w="2309" w:type="dxa"/>
            <w:vAlign w:val="center"/>
          </w:tcPr>
          <w:p w14:paraId="0B94EA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MSCIM模型推理与预测模拟</w:t>
            </w:r>
          </w:p>
        </w:tc>
        <w:tc>
          <w:tcPr>
            <w:tcW w:w="2309" w:type="dxa"/>
            <w:vAlign w:val="center"/>
          </w:tcPr>
          <w:p w14:paraId="7B038E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浊度预测序列</w:t>
            </w:r>
          </w:p>
        </w:tc>
      </w:tr>
      <w:tr w14:paraId="0B5ADC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406E5B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 归因诊断</w:t>
            </w:r>
          </w:p>
        </w:tc>
        <w:tc>
          <w:tcPr>
            <w:tcW w:w="2309" w:type="dxa"/>
            <w:vAlign w:val="center"/>
          </w:tcPr>
          <w:p w14:paraId="31186C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预测结果、实测数据、知识图谱关系</w:t>
            </w:r>
          </w:p>
        </w:tc>
        <w:tc>
          <w:tcPr>
            <w:tcW w:w="2309" w:type="dxa"/>
            <w:vAlign w:val="center"/>
          </w:tcPr>
          <w:p w14:paraId="650D9D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因果强度计算、主导因子排序、机制解释</w:t>
            </w:r>
          </w:p>
        </w:tc>
        <w:tc>
          <w:tcPr>
            <w:tcW w:w="2309" w:type="dxa"/>
            <w:vAlign w:val="center"/>
          </w:tcPr>
          <w:p w14:paraId="3DF5E7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诊断报告</w:t>
            </w:r>
          </w:p>
        </w:tc>
      </w:tr>
    </w:tbl>
    <w:p w14:paraId="2BB73BEB"/>
    <w:p w14:paraId="75D06461">
      <w:pPr>
        <w:pStyle w:val="4"/>
        <w:spacing w:before="120" w:after="120"/>
      </w:pPr>
      <w:r>
        <w:t>2.3 系统部署结构</w:t>
      </w:r>
    </w:p>
    <w:p w14:paraId="2448674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建议采用浏览器/服务器模式部署。前端提供可视化操作界面，后端提供数据服务、模型服务、任务调度服务和报告生成服务，数据库层负责时序数据、结构化业务数据和实体关系数据存储。对于科研试验场景，可部署在单台工作站；对于多站点连续监测场景，可部署在服务器或私有云环境中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CC4E4E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8C3A0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组成部分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A1A9B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建议技术形态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9A89D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03235C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BBFE1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客户端</w:t>
            </w:r>
          </w:p>
        </w:tc>
        <w:tc>
          <w:tcPr>
            <w:tcW w:w="3079" w:type="dxa"/>
            <w:vAlign w:val="center"/>
          </w:tcPr>
          <w:p w14:paraId="1FD69D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Chrome、Edge等现代浏览器</w:t>
            </w:r>
          </w:p>
        </w:tc>
        <w:tc>
          <w:tcPr>
            <w:tcW w:w="3079" w:type="dxa"/>
            <w:vAlign w:val="center"/>
          </w:tcPr>
          <w:p w14:paraId="49B319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用于登录系统、查看数据看板、配置预测任务和下载报告</w:t>
            </w:r>
          </w:p>
        </w:tc>
      </w:tr>
      <w:tr w14:paraId="5E63DA5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061AF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前端服务</w:t>
            </w:r>
          </w:p>
        </w:tc>
        <w:tc>
          <w:tcPr>
            <w:tcW w:w="3079" w:type="dxa"/>
            <w:vAlign w:val="center"/>
          </w:tcPr>
          <w:p w14:paraId="5D75D6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Web前端框架</w:t>
            </w:r>
          </w:p>
        </w:tc>
        <w:tc>
          <w:tcPr>
            <w:tcW w:w="3079" w:type="dxa"/>
            <w:vAlign w:val="center"/>
          </w:tcPr>
          <w:p w14:paraId="044803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实现菜单导航、图表渲染、地图展示和交互查询</w:t>
            </w:r>
          </w:p>
        </w:tc>
      </w:tr>
      <w:tr w14:paraId="6BEB80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32B4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后端服务</w:t>
            </w:r>
          </w:p>
        </w:tc>
        <w:tc>
          <w:tcPr>
            <w:tcW w:w="3079" w:type="dxa"/>
            <w:vAlign w:val="center"/>
          </w:tcPr>
          <w:p w14:paraId="73E6B8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Python/Java服务框架</w:t>
            </w:r>
          </w:p>
        </w:tc>
        <w:tc>
          <w:tcPr>
            <w:tcW w:w="3079" w:type="dxa"/>
            <w:vAlign w:val="center"/>
          </w:tcPr>
          <w:p w14:paraId="1CE9D0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提供数据接口、模型调用、权限管理和任务管理</w:t>
            </w:r>
          </w:p>
        </w:tc>
      </w:tr>
      <w:tr w14:paraId="3EA771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487BA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模型服务</w:t>
            </w:r>
          </w:p>
        </w:tc>
        <w:tc>
          <w:tcPr>
            <w:tcW w:w="3079" w:type="dxa"/>
            <w:vAlign w:val="center"/>
          </w:tcPr>
          <w:p w14:paraId="21E072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独立模型推理服务</w:t>
            </w:r>
          </w:p>
        </w:tc>
        <w:tc>
          <w:tcPr>
            <w:tcW w:w="3079" w:type="dxa"/>
            <w:vAlign w:val="center"/>
          </w:tcPr>
          <w:p w14:paraId="0742D6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封装MSCIM模型训练、加载、预测和评估功能</w:t>
            </w:r>
          </w:p>
        </w:tc>
      </w:tr>
      <w:tr w14:paraId="296481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CA4B2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数据库服务</w:t>
            </w:r>
          </w:p>
        </w:tc>
        <w:tc>
          <w:tcPr>
            <w:tcW w:w="3079" w:type="dxa"/>
            <w:vAlign w:val="center"/>
          </w:tcPr>
          <w:p w14:paraId="34CD90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时序库、关系库、图数据库</w:t>
            </w:r>
          </w:p>
        </w:tc>
        <w:tc>
          <w:tcPr>
            <w:tcW w:w="3079" w:type="dxa"/>
            <w:vAlign w:val="center"/>
          </w:tcPr>
          <w:p w14:paraId="79A68F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分别存储监测序列、业务表和致浊因子关系图谱</w:t>
            </w:r>
          </w:p>
        </w:tc>
      </w:tr>
    </w:tbl>
    <w:p w14:paraId="50DB6D9A"/>
    <w:p w14:paraId="4CF99BE8">
      <w:pPr>
        <w:pStyle w:val="3"/>
        <w:spacing w:before="200" w:after="120"/>
      </w:pPr>
      <w:r>
        <w:t>3 功能模块设计</w:t>
      </w:r>
    </w:p>
    <w:p w14:paraId="5F82BAE3">
      <w:pPr>
        <w:pStyle w:val="4"/>
        <w:spacing w:before="120" w:after="120"/>
      </w:pPr>
      <w:r>
        <w:t>3.1 多源异构水质数据融合与管理模块</w:t>
      </w:r>
    </w:p>
    <w:p w14:paraId="2BAD147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是系统的数据基础，负责对水质、气象、水文、水利等多源异构数据进行接入、清洗、标准化和统一管理。模块支持按站点、时间、指标类型和数据来源建立数据索引，能够形成包含日尺度连续监测记录的多模态水质综合数据库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5D5E39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4CFC9E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F48A6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3B7E7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1EC55F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23E30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数据接入</w:t>
            </w:r>
          </w:p>
        </w:tc>
        <w:tc>
          <w:tcPr>
            <w:tcW w:w="3079" w:type="dxa"/>
            <w:vAlign w:val="center"/>
          </w:tcPr>
          <w:p w14:paraId="20DE48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支持接口接入、Excel/CSV文件导入、数据库同步等方式，接收水温、浊度、流速、流量、降雨量、风速、潮位等数据</w:t>
            </w:r>
          </w:p>
        </w:tc>
        <w:tc>
          <w:tcPr>
            <w:tcW w:w="3079" w:type="dxa"/>
            <w:vAlign w:val="center"/>
          </w:tcPr>
          <w:p w14:paraId="721C3D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原始数据表</w:t>
            </w:r>
          </w:p>
        </w:tc>
      </w:tr>
      <w:tr w14:paraId="2AAE29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CB08D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字段映射</w:t>
            </w:r>
          </w:p>
        </w:tc>
        <w:tc>
          <w:tcPr>
            <w:tcW w:w="3079" w:type="dxa"/>
            <w:vAlign w:val="center"/>
          </w:tcPr>
          <w:p w14:paraId="31E007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将不同来源的字段名称、单位和数据格式映射到系统标准字段</w:t>
            </w:r>
          </w:p>
        </w:tc>
        <w:tc>
          <w:tcPr>
            <w:tcW w:w="3079" w:type="dxa"/>
            <w:vAlign w:val="center"/>
          </w:tcPr>
          <w:p w14:paraId="724A13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标准字段字典</w:t>
            </w:r>
          </w:p>
        </w:tc>
      </w:tr>
      <w:tr w14:paraId="33DC71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97785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数据清洗</w:t>
            </w:r>
          </w:p>
        </w:tc>
        <w:tc>
          <w:tcPr>
            <w:tcW w:w="3079" w:type="dxa"/>
            <w:vAlign w:val="center"/>
          </w:tcPr>
          <w:p w14:paraId="330535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对重复记录、缺失记录、异常波动和越界值进行识别与处理</w:t>
            </w:r>
          </w:p>
        </w:tc>
        <w:tc>
          <w:tcPr>
            <w:tcW w:w="3079" w:type="dxa"/>
            <w:vAlign w:val="center"/>
          </w:tcPr>
          <w:p w14:paraId="23E4A7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清洗后数据集</w:t>
            </w:r>
          </w:p>
        </w:tc>
      </w:tr>
      <w:tr w14:paraId="1215157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222FF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</w:t>
            </w:r>
          </w:p>
        </w:tc>
        <w:tc>
          <w:tcPr>
            <w:tcW w:w="3079" w:type="dxa"/>
            <w:vAlign w:val="center"/>
          </w:tcPr>
          <w:p w14:paraId="7FAB68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将不同采样频率的数据统一到小时、日或自定义时间尺度</w:t>
            </w:r>
          </w:p>
        </w:tc>
        <w:tc>
          <w:tcPr>
            <w:tcW w:w="3079" w:type="dxa"/>
            <w:vAlign w:val="center"/>
          </w:tcPr>
          <w:p w14:paraId="3C5FF2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时间对齐数据表</w:t>
            </w:r>
          </w:p>
        </w:tc>
      </w:tr>
      <w:tr w14:paraId="1C31FE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F1A4D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空间匹配</w:t>
            </w:r>
          </w:p>
        </w:tc>
        <w:tc>
          <w:tcPr>
            <w:tcW w:w="3079" w:type="dxa"/>
            <w:vAlign w:val="center"/>
          </w:tcPr>
          <w:p w14:paraId="2B3589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根据站点经纬度、行政区域、水域名称和监测断面建立空间关联</w:t>
            </w:r>
          </w:p>
        </w:tc>
        <w:tc>
          <w:tcPr>
            <w:tcW w:w="3079" w:type="dxa"/>
            <w:vAlign w:val="center"/>
          </w:tcPr>
          <w:p w14:paraId="17032B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站点空间索引</w:t>
            </w:r>
          </w:p>
        </w:tc>
      </w:tr>
      <w:tr w14:paraId="41869D4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FB060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入库存储</w:t>
            </w:r>
          </w:p>
        </w:tc>
        <w:tc>
          <w:tcPr>
            <w:tcW w:w="3079" w:type="dxa"/>
            <w:vAlign w:val="center"/>
          </w:tcPr>
          <w:p w14:paraId="53DD0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按数据类别写入时序库、关系库或图数据库</w:t>
            </w:r>
          </w:p>
        </w:tc>
        <w:tc>
          <w:tcPr>
            <w:tcW w:w="3079" w:type="dxa"/>
            <w:vAlign w:val="center"/>
          </w:tcPr>
          <w:p w14:paraId="27ADD2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综合数据库</w:t>
            </w:r>
          </w:p>
        </w:tc>
      </w:tr>
    </w:tbl>
    <w:p w14:paraId="1FCFEDF1"/>
    <w:p w14:paraId="67BA757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块运行后，用户可以在数据管理界面查看每类数据的接入状态、清洗结果、异常记录数量和入库记录数量。系统对每次导入任务生成日志，记录导入时间、数据来源、处理行数、失败行数和异常说明，便于后续追溯。</w:t>
      </w:r>
    </w:p>
    <w:p w14:paraId="75019286">
      <w:pPr>
        <w:pStyle w:val="4"/>
        <w:spacing w:before="120" w:after="120"/>
      </w:pPr>
      <w:r>
        <w:t>3.2 水质多维数据可视化与交互模块</w:t>
      </w:r>
    </w:p>
    <w:p w14:paraId="6BE610A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面向用户提供综合数据库的可视化展示能力。用户可通过时间、站点、指标、水域区域等条件进行查询，并以折线图、柱状图、热力图、地图点位和统计卡片等形式查看水质变化。该模块重点解决“数据能看清、趋势能对比、站点能定位”的问题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89152D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51176A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4756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BDE2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典型场景</w:t>
            </w:r>
          </w:p>
        </w:tc>
      </w:tr>
      <w:tr w14:paraId="6555A3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9E430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综合看板</w:t>
            </w:r>
          </w:p>
        </w:tc>
        <w:tc>
          <w:tcPr>
            <w:tcW w:w="3079" w:type="dxa"/>
            <w:vAlign w:val="center"/>
          </w:tcPr>
          <w:p w14:paraId="1F962C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展示监测站点数量、最新浊度、平均浊度、异常点数量、预测任务数量等指标</w:t>
            </w:r>
          </w:p>
        </w:tc>
        <w:tc>
          <w:tcPr>
            <w:tcW w:w="3079" w:type="dxa"/>
            <w:vAlign w:val="center"/>
          </w:tcPr>
          <w:p w14:paraId="532966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管理人员快速掌握当前水质状态</w:t>
            </w:r>
          </w:p>
        </w:tc>
      </w:tr>
      <w:tr w14:paraId="7578071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A8FCA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时间序列分析</w:t>
            </w:r>
          </w:p>
        </w:tc>
        <w:tc>
          <w:tcPr>
            <w:tcW w:w="3079" w:type="dxa"/>
            <w:vAlign w:val="center"/>
          </w:tcPr>
          <w:p w14:paraId="37B03D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支持查看水温、浊度、降雨量、潮位等指标随时间变化的曲线</w:t>
            </w:r>
          </w:p>
        </w:tc>
        <w:tc>
          <w:tcPr>
            <w:tcW w:w="3079" w:type="dxa"/>
            <w:vAlign w:val="center"/>
          </w:tcPr>
          <w:p w14:paraId="729282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分析水温变化曲线或浊度突增过程</w:t>
            </w:r>
          </w:p>
        </w:tc>
      </w:tr>
      <w:tr w14:paraId="6661F48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E8E8A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指标对比</w:t>
            </w:r>
          </w:p>
        </w:tc>
        <w:tc>
          <w:tcPr>
            <w:tcW w:w="3079" w:type="dxa"/>
            <w:vAlign w:val="center"/>
          </w:tcPr>
          <w:p w14:paraId="0BE973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支持多个监测指标在同一时间轴上对比显示</w:t>
            </w:r>
          </w:p>
        </w:tc>
        <w:tc>
          <w:tcPr>
            <w:tcW w:w="3079" w:type="dxa"/>
            <w:vAlign w:val="center"/>
          </w:tcPr>
          <w:p w14:paraId="713C31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分析降雨、流速与浊度之间的同步变化</w:t>
            </w:r>
          </w:p>
        </w:tc>
      </w:tr>
      <w:tr w14:paraId="71E7D53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F8B1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空间分布展示</w:t>
            </w:r>
          </w:p>
        </w:tc>
        <w:tc>
          <w:tcPr>
            <w:tcW w:w="3079" w:type="dxa"/>
            <w:vAlign w:val="center"/>
          </w:tcPr>
          <w:p w14:paraId="23A7CB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根据站点经纬度在地图上显示监测点位、浊度等级和区域差异</w:t>
            </w:r>
          </w:p>
        </w:tc>
        <w:tc>
          <w:tcPr>
            <w:tcW w:w="3079" w:type="dxa"/>
            <w:vAlign w:val="center"/>
          </w:tcPr>
          <w:p w14:paraId="5092AA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查看吴淞口等区域的空间分布特征</w:t>
            </w:r>
          </w:p>
        </w:tc>
      </w:tr>
      <w:tr w14:paraId="32AFD7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06718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交互查询</w:t>
            </w:r>
          </w:p>
        </w:tc>
        <w:tc>
          <w:tcPr>
            <w:tcW w:w="3079" w:type="dxa"/>
            <w:vAlign w:val="center"/>
          </w:tcPr>
          <w:p w14:paraId="125826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支持按日期、站点、水域、指标类型筛选数据</w:t>
            </w:r>
          </w:p>
        </w:tc>
        <w:tc>
          <w:tcPr>
            <w:tcW w:w="3079" w:type="dxa"/>
            <w:vAlign w:val="center"/>
          </w:tcPr>
          <w:p w14:paraId="075341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定位某一时段或某一站点的历史记录</w:t>
            </w:r>
          </w:p>
        </w:tc>
      </w:tr>
    </w:tbl>
    <w:p w14:paraId="5459743A"/>
    <w:p w14:paraId="3E7D26F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可视化界面不直接修改底层原始数据，只提供筛选、聚合和展示功能。用户在界面中选择时间范围后，系统自动调用后端查询接口，返回符合条件的数据序列并完成图表渲染。</w:t>
      </w:r>
    </w:p>
    <w:p w14:paraId="65077B0E">
      <w:pPr>
        <w:pStyle w:val="4"/>
        <w:spacing w:before="120" w:after="120"/>
      </w:pPr>
      <w:r>
        <w:t>3.3 水体浊度动态预测与模拟模块</w:t>
      </w:r>
    </w:p>
    <w:p w14:paraId="6BB38A0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是软件的核心预测功能，基于历史多模态数据调用MSCIM模型，对特定区域或站点的水体浊度进行预测模拟。用户可选择预测区域、预测时间范围、输入因子和模型版本，系统自动生成浊度预测值，并与实测值进行对比分析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00A4D3E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4696E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46F03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0445B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5CC45F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67697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预测任务配置</w:t>
            </w:r>
          </w:p>
        </w:tc>
        <w:tc>
          <w:tcPr>
            <w:tcW w:w="3079" w:type="dxa"/>
            <w:vAlign w:val="center"/>
          </w:tcPr>
          <w:p w14:paraId="3C75A0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用户选择区域、站点、起止时间、预测步长和输入因子</w:t>
            </w:r>
          </w:p>
        </w:tc>
        <w:tc>
          <w:tcPr>
            <w:tcW w:w="3079" w:type="dxa"/>
            <w:vAlign w:val="center"/>
          </w:tcPr>
          <w:p w14:paraId="09E50C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预测任务参数</w:t>
            </w:r>
          </w:p>
        </w:tc>
      </w:tr>
      <w:tr w14:paraId="2EEA4A8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6857C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模型加载</w:t>
            </w:r>
          </w:p>
        </w:tc>
        <w:tc>
          <w:tcPr>
            <w:tcW w:w="3079" w:type="dxa"/>
            <w:vAlign w:val="center"/>
          </w:tcPr>
          <w:p w14:paraId="325815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系统读取已训练的MSCIM模型参数和特征配置</w:t>
            </w:r>
          </w:p>
        </w:tc>
        <w:tc>
          <w:tcPr>
            <w:tcW w:w="3079" w:type="dxa"/>
            <w:vAlign w:val="center"/>
          </w:tcPr>
          <w:p w14:paraId="55835A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模型运行实例</w:t>
            </w:r>
          </w:p>
        </w:tc>
      </w:tr>
      <w:tr w14:paraId="0A54CC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02C7F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预测计算</w:t>
            </w:r>
          </w:p>
        </w:tc>
        <w:tc>
          <w:tcPr>
            <w:tcW w:w="3079" w:type="dxa"/>
            <w:vAlign w:val="center"/>
          </w:tcPr>
          <w:p w14:paraId="45CC3D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将多模态特征输入模型，输出浊度预测序列</w:t>
            </w:r>
          </w:p>
        </w:tc>
        <w:tc>
          <w:tcPr>
            <w:tcW w:w="3079" w:type="dxa"/>
            <w:vAlign w:val="center"/>
          </w:tcPr>
          <w:p w14:paraId="5E0B7D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预测浊度值</w:t>
            </w:r>
          </w:p>
        </w:tc>
      </w:tr>
      <w:tr w14:paraId="67F87B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42A59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预测对比</w:t>
            </w:r>
          </w:p>
        </w:tc>
        <w:tc>
          <w:tcPr>
            <w:tcW w:w="3079" w:type="dxa"/>
            <w:vAlign w:val="center"/>
          </w:tcPr>
          <w:p w14:paraId="07D201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将预测值与实测值在同一图表中展示，并计算误差指标</w:t>
            </w:r>
          </w:p>
        </w:tc>
        <w:tc>
          <w:tcPr>
            <w:tcW w:w="3079" w:type="dxa"/>
            <w:vAlign w:val="center"/>
          </w:tcPr>
          <w:p w14:paraId="202533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预测—实测对比图</w:t>
            </w:r>
          </w:p>
        </w:tc>
      </w:tr>
      <w:tr w14:paraId="7653F4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89EDE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结果导出</w:t>
            </w:r>
          </w:p>
        </w:tc>
        <w:tc>
          <w:tcPr>
            <w:tcW w:w="3079" w:type="dxa"/>
            <w:vAlign w:val="center"/>
          </w:tcPr>
          <w:p w14:paraId="029B68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支持导出预测结果表、图表和分析报告</w:t>
            </w:r>
          </w:p>
        </w:tc>
        <w:tc>
          <w:tcPr>
            <w:tcW w:w="3079" w:type="dxa"/>
            <w:vAlign w:val="center"/>
          </w:tcPr>
          <w:p w14:paraId="57F0AE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Excel/PDF/Word报告</w:t>
            </w:r>
          </w:p>
        </w:tc>
      </w:tr>
    </w:tbl>
    <w:p w14:paraId="15DCBBF5"/>
    <w:p w14:paraId="0D99905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在预测结果展示中，系统可提供预测曲线、实测曲线、误差曲线和统计指标。常用评估指标包括平均绝对误差、均方根误差、决定系数和相对误差等。若某一时段预测误差明显升高，系统可将其标记为异常预测区间，并提示用户进一步进行致浊因子诊断。</w:t>
      </w:r>
    </w:p>
    <w:p w14:paraId="6091B520">
      <w:pPr>
        <w:pStyle w:val="4"/>
        <w:spacing w:before="120" w:after="120"/>
      </w:pPr>
      <w:r>
        <w:t>3.4 致浊因子因果诊断与归因分析模块</w:t>
      </w:r>
    </w:p>
    <w:p w14:paraId="3C8C725F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用于解释浊度变化原因。系统结合因果推断与知识图谱技术，对水动力过程、季节性气象影响、降雨径流、潮汐变化、上游来水、水利调度等因子进行关联建模和影响强度分析，输出致浊因子排序及诊断报告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527A4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1FAB7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69EBC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76360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23E7BA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2F01C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因子库管理</w:t>
            </w:r>
          </w:p>
        </w:tc>
        <w:tc>
          <w:tcPr>
            <w:tcW w:w="3079" w:type="dxa"/>
            <w:vAlign w:val="center"/>
          </w:tcPr>
          <w:p w14:paraId="1631D6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维护可能影响浊度的候选因子，包括水动力、气象、水文和人为调度等类别</w:t>
            </w:r>
          </w:p>
        </w:tc>
        <w:tc>
          <w:tcPr>
            <w:tcW w:w="3079" w:type="dxa"/>
            <w:vAlign w:val="center"/>
          </w:tcPr>
          <w:p w14:paraId="39E846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致浊因子库</w:t>
            </w:r>
          </w:p>
        </w:tc>
      </w:tr>
      <w:tr w14:paraId="7A7BBA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850C2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知识图谱构建</w:t>
            </w:r>
          </w:p>
        </w:tc>
        <w:tc>
          <w:tcPr>
            <w:tcW w:w="3079" w:type="dxa"/>
            <w:vAlign w:val="center"/>
          </w:tcPr>
          <w:p w14:paraId="5174BD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构建“因子—过程—指标—区域”之间的实体关系</w:t>
            </w:r>
          </w:p>
        </w:tc>
        <w:tc>
          <w:tcPr>
            <w:tcW w:w="3079" w:type="dxa"/>
            <w:vAlign w:val="center"/>
          </w:tcPr>
          <w:p w14:paraId="7F4170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水体浊度知识图谱</w:t>
            </w:r>
          </w:p>
        </w:tc>
      </w:tr>
      <w:tr w14:paraId="27C35D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337DD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因果强度计算</w:t>
            </w:r>
          </w:p>
        </w:tc>
        <w:tc>
          <w:tcPr>
            <w:tcW w:w="3079" w:type="dxa"/>
            <w:vAlign w:val="center"/>
          </w:tcPr>
          <w:p w14:paraId="4BFD98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根据历史数据和模型结果量化候选因子与浊度变化之间的影响强度</w:t>
            </w:r>
          </w:p>
        </w:tc>
        <w:tc>
          <w:tcPr>
            <w:tcW w:w="3079" w:type="dxa"/>
            <w:vAlign w:val="center"/>
          </w:tcPr>
          <w:p w14:paraId="121B02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因子贡献度</w:t>
            </w:r>
          </w:p>
        </w:tc>
      </w:tr>
      <w:tr w14:paraId="152CAB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8A678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主导因子识别</w:t>
            </w:r>
          </w:p>
        </w:tc>
        <w:tc>
          <w:tcPr>
            <w:tcW w:w="3079" w:type="dxa"/>
            <w:vAlign w:val="center"/>
          </w:tcPr>
          <w:p w14:paraId="092ADE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对候选因子进行排序，识别主导致浊因子和次要影响因子</w:t>
            </w:r>
          </w:p>
        </w:tc>
        <w:tc>
          <w:tcPr>
            <w:tcW w:w="3079" w:type="dxa"/>
            <w:vAlign w:val="center"/>
          </w:tcPr>
          <w:p w14:paraId="5B23FC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因子排序列表</w:t>
            </w:r>
          </w:p>
        </w:tc>
      </w:tr>
      <w:tr w14:paraId="1A4F49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4506C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诊断报告生成</w:t>
            </w:r>
          </w:p>
        </w:tc>
        <w:tc>
          <w:tcPr>
            <w:tcW w:w="3079" w:type="dxa"/>
            <w:vAlign w:val="center"/>
          </w:tcPr>
          <w:p w14:paraId="77EEBA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输出浊度变化过程、主要原因、影响机制和建议关注指标</w:t>
            </w:r>
          </w:p>
        </w:tc>
        <w:tc>
          <w:tcPr>
            <w:tcW w:w="3079" w:type="dxa"/>
            <w:vAlign w:val="center"/>
          </w:tcPr>
          <w:p w14:paraId="6B07F3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归因诊断报告</w:t>
            </w:r>
          </w:p>
        </w:tc>
      </w:tr>
    </w:tbl>
    <w:p w14:paraId="6F8C6F00"/>
    <w:p w14:paraId="7116473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块输出不只给出相关性结果，而是围绕“哪个因子主导、通过什么过程影响、在什么时间段最明显”进行解释。例如，当系统识别到潮位变化与流速增强共同作用时，可将诊断结果解释为水动力过程主导；当降雨量、径流量和悬浮物变化同步增强时，可解释为季节性降雨径流影响增强。</w:t>
      </w:r>
    </w:p>
    <w:p w14:paraId="04FB6C1F">
      <w:pPr>
        <w:pStyle w:val="3"/>
        <w:spacing w:before="200" w:after="120"/>
      </w:pPr>
      <w:r>
        <w:t>4 数据库与数据处理设计</w:t>
      </w:r>
    </w:p>
    <w:p w14:paraId="1B214F6E">
      <w:pPr>
        <w:pStyle w:val="4"/>
        <w:spacing w:before="120" w:after="120"/>
      </w:pPr>
      <w:r>
        <w:t>4.1 数据类型与字段范围</w:t>
      </w:r>
    </w:p>
    <w:p w14:paraId="50D127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系统以水质监测数据为核心，并向外扩展气象、水文、水利和空间信息。各类数据通过统一的站点编号、时间戳和空间坐标建立关联，保证模型训练、查询展示和归因分析使用同一套数据底座。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E317B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5D1D43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数据类别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9ABF9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主要字段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59558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 w14:paraId="451CE0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84518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水质数据</w:t>
            </w:r>
          </w:p>
        </w:tc>
        <w:tc>
          <w:tcPr>
            <w:tcW w:w="3079" w:type="dxa"/>
            <w:vAlign w:val="center"/>
          </w:tcPr>
          <w:p w14:paraId="42D203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站点编号、采样时间、水温、浊度、pH、电导率、溶解氧、悬浮物浓度</w:t>
            </w:r>
          </w:p>
        </w:tc>
        <w:tc>
          <w:tcPr>
            <w:tcW w:w="3079" w:type="dxa"/>
            <w:vAlign w:val="center"/>
          </w:tcPr>
          <w:p w14:paraId="1261CA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支撑水质状态展示和浊度预测建模</w:t>
            </w:r>
          </w:p>
        </w:tc>
      </w:tr>
      <w:tr w14:paraId="0EB4E6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FFC88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气象数据</w:t>
            </w:r>
          </w:p>
        </w:tc>
        <w:tc>
          <w:tcPr>
            <w:tcW w:w="3079" w:type="dxa"/>
            <w:vAlign w:val="center"/>
          </w:tcPr>
          <w:p w14:paraId="4EB75B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降雨量、风速、风向、气温、湿度、气压、太阳辐射</w:t>
            </w:r>
          </w:p>
        </w:tc>
        <w:tc>
          <w:tcPr>
            <w:tcW w:w="3079" w:type="dxa"/>
            <w:vAlign w:val="center"/>
          </w:tcPr>
          <w:p w14:paraId="54423C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分析气象条件对浊度变化的影响</w:t>
            </w:r>
          </w:p>
        </w:tc>
      </w:tr>
      <w:tr w14:paraId="2B3FE4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45EC5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水文数据</w:t>
            </w:r>
          </w:p>
        </w:tc>
        <w:tc>
          <w:tcPr>
            <w:tcW w:w="3079" w:type="dxa"/>
            <w:vAlign w:val="center"/>
          </w:tcPr>
          <w:p w14:paraId="77E4AF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流速、流量、水位、潮位、流向、径流量</w:t>
            </w:r>
          </w:p>
        </w:tc>
        <w:tc>
          <w:tcPr>
            <w:tcW w:w="3079" w:type="dxa"/>
            <w:vAlign w:val="center"/>
          </w:tcPr>
          <w:p w14:paraId="455103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表征水动力过程和河口交换过程</w:t>
            </w:r>
          </w:p>
        </w:tc>
      </w:tr>
      <w:tr w14:paraId="22E3C4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24C58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水利数据</w:t>
            </w:r>
          </w:p>
        </w:tc>
        <w:tc>
          <w:tcPr>
            <w:tcW w:w="3079" w:type="dxa"/>
            <w:vAlign w:val="center"/>
          </w:tcPr>
          <w:p w14:paraId="2A534C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闸门开度、调度时间、排水量、泵站运行状态</w:t>
            </w:r>
          </w:p>
        </w:tc>
        <w:tc>
          <w:tcPr>
            <w:tcW w:w="3079" w:type="dxa"/>
            <w:vAlign w:val="center"/>
          </w:tcPr>
          <w:p w14:paraId="3808AA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分析工程调度对水体扰动和输移过程的影响</w:t>
            </w:r>
          </w:p>
        </w:tc>
      </w:tr>
      <w:tr w14:paraId="41ECBAD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9BA8B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空间数据</w:t>
            </w:r>
          </w:p>
        </w:tc>
        <w:tc>
          <w:tcPr>
            <w:tcW w:w="3079" w:type="dxa"/>
            <w:vAlign w:val="center"/>
          </w:tcPr>
          <w:p w14:paraId="00891E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站点名称、经度、纬度、水域名称、行政区、断面类型</w:t>
            </w:r>
          </w:p>
        </w:tc>
        <w:tc>
          <w:tcPr>
            <w:tcW w:w="3079" w:type="dxa"/>
            <w:vAlign w:val="center"/>
          </w:tcPr>
          <w:p w14:paraId="3E6208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支撑地图展示、空间筛选和站点关联</w:t>
            </w:r>
          </w:p>
        </w:tc>
      </w:tr>
    </w:tbl>
    <w:p w14:paraId="48D6D0F6"/>
    <w:p w14:paraId="2ECF434E">
      <w:pPr>
        <w:pStyle w:val="4"/>
        <w:spacing w:before="120" w:after="120"/>
      </w:pPr>
      <w:r>
        <w:t>4.2 数据接入与清洗规则</w:t>
      </w:r>
    </w:p>
    <w:p w14:paraId="366730F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数据接入后，系统按照字段完整性、时间连续性、数值合理性和空间一致性进行检查。对于缺失值，系统根据字段类型采用删除、插值、前向填充或模型估计方式处理；对于明显异常值，系统根据阈值规则、统计分布和相邻时段变化幅度进行识别；对于不同时间粒度的数据，系统按照用户选择的分析尺度进行聚合或重采样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C7D72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D5935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规则类型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8E1E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处理方式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ED85C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19CB07F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8256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字段完整性检查</w:t>
            </w:r>
          </w:p>
        </w:tc>
        <w:tc>
          <w:tcPr>
            <w:tcW w:w="3079" w:type="dxa"/>
            <w:vAlign w:val="center"/>
          </w:tcPr>
          <w:p w14:paraId="132FD6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检查必填字段是否为空</w:t>
            </w:r>
          </w:p>
        </w:tc>
        <w:tc>
          <w:tcPr>
            <w:tcW w:w="3079" w:type="dxa"/>
            <w:vAlign w:val="center"/>
          </w:tcPr>
          <w:p w14:paraId="5533E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站点编号、时间戳、浊度值等字段不得缺失</w:t>
            </w:r>
          </w:p>
        </w:tc>
      </w:tr>
      <w:tr w14:paraId="375E41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FE855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重复记录处理</w:t>
            </w:r>
          </w:p>
        </w:tc>
        <w:tc>
          <w:tcPr>
            <w:tcW w:w="3079" w:type="dxa"/>
            <w:vAlign w:val="center"/>
          </w:tcPr>
          <w:p w14:paraId="45B392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按站点编号和时间戳去重</w:t>
            </w:r>
          </w:p>
        </w:tc>
        <w:tc>
          <w:tcPr>
            <w:tcW w:w="3079" w:type="dxa"/>
            <w:vAlign w:val="center"/>
          </w:tcPr>
          <w:p w14:paraId="312F7B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保留最新记录或平均记录</w:t>
            </w:r>
          </w:p>
        </w:tc>
      </w:tr>
      <w:tr w14:paraId="75CDF9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55F6A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异常值识别</w:t>
            </w:r>
          </w:p>
        </w:tc>
        <w:tc>
          <w:tcPr>
            <w:tcW w:w="3079" w:type="dxa"/>
            <w:vAlign w:val="center"/>
          </w:tcPr>
          <w:p w14:paraId="057421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采用阈值规则和突变检测</w:t>
            </w:r>
          </w:p>
        </w:tc>
        <w:tc>
          <w:tcPr>
            <w:tcW w:w="3079" w:type="dxa"/>
            <w:vAlign w:val="center"/>
          </w:tcPr>
          <w:p w14:paraId="325194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识别负值、越界值和短时间剧烈跳变</w:t>
            </w:r>
          </w:p>
        </w:tc>
      </w:tr>
      <w:tr w14:paraId="2E298C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392AF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单位标准化</w:t>
            </w:r>
          </w:p>
        </w:tc>
        <w:tc>
          <w:tcPr>
            <w:tcW w:w="3079" w:type="dxa"/>
            <w:vAlign w:val="center"/>
          </w:tcPr>
          <w:p w14:paraId="0337A6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统一单位和精度</w:t>
            </w:r>
          </w:p>
        </w:tc>
        <w:tc>
          <w:tcPr>
            <w:tcW w:w="3079" w:type="dxa"/>
            <w:vAlign w:val="center"/>
          </w:tcPr>
          <w:p w14:paraId="3CD750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将不同来源的数据转换为系统标准单位</w:t>
            </w:r>
          </w:p>
        </w:tc>
      </w:tr>
      <w:tr w14:paraId="1CED483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9B84C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时间尺度统一</w:t>
            </w:r>
          </w:p>
        </w:tc>
        <w:tc>
          <w:tcPr>
            <w:tcW w:w="3079" w:type="dxa"/>
            <w:vAlign w:val="center"/>
          </w:tcPr>
          <w:p w14:paraId="3C4D2D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按小时、日或自定义粒度重采样</w:t>
            </w:r>
          </w:p>
        </w:tc>
        <w:tc>
          <w:tcPr>
            <w:tcW w:w="3079" w:type="dxa"/>
            <w:vAlign w:val="center"/>
          </w:tcPr>
          <w:p w14:paraId="0547F0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支撑日尺度连续监测记录构建</w:t>
            </w:r>
          </w:p>
        </w:tc>
      </w:tr>
      <w:tr w14:paraId="2D3807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F3B2A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空间关系校验</w:t>
            </w:r>
          </w:p>
        </w:tc>
        <w:tc>
          <w:tcPr>
            <w:tcW w:w="3079" w:type="dxa"/>
            <w:vAlign w:val="center"/>
          </w:tcPr>
          <w:p w14:paraId="094AC5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核对站点经纬度与所属水域</w:t>
            </w:r>
          </w:p>
        </w:tc>
        <w:tc>
          <w:tcPr>
            <w:tcW w:w="3079" w:type="dxa"/>
            <w:vAlign w:val="center"/>
          </w:tcPr>
          <w:p w14:paraId="0BAC48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避免站点归属错误影响空间分析</w:t>
            </w:r>
          </w:p>
        </w:tc>
      </w:tr>
    </w:tbl>
    <w:p w14:paraId="1020FC6C"/>
    <w:p w14:paraId="5F8B6797">
      <w:pPr>
        <w:pStyle w:val="4"/>
        <w:spacing w:before="120" w:after="120"/>
      </w:pPr>
      <w:r>
        <w:t>4.3 标准化存储方案</w:t>
      </w:r>
    </w:p>
    <w:p w14:paraId="3849A7A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建议采用时序库、关系库和图数据库联合存储方案。时序库存储连续监测记录，关系库存储用户、站点、任务、模型版本和报告信息，图数据库存储致浊因子、监测指标、水文过程和水域对象之间的关系。该设计兼顾高频数据查询、业务管理和知识关联推理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530532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44C73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数据库类型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EBA29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存储对象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414C91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典型表或节点</w:t>
            </w:r>
          </w:p>
        </w:tc>
      </w:tr>
      <w:tr w14:paraId="3FF67E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058A3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时序库</w:t>
            </w:r>
          </w:p>
        </w:tc>
        <w:tc>
          <w:tcPr>
            <w:tcW w:w="3079" w:type="dxa"/>
            <w:vAlign w:val="center"/>
          </w:tcPr>
          <w:p w14:paraId="1B27E2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水质、气象、水文等连续监测序列</w:t>
            </w:r>
          </w:p>
        </w:tc>
        <w:tc>
          <w:tcPr>
            <w:tcW w:w="3079" w:type="dxa"/>
            <w:vAlign w:val="center"/>
          </w:tcPr>
          <w:p w14:paraId="3E1F9D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turbidity_series、weather_series、hydrology_series</w:t>
            </w:r>
          </w:p>
        </w:tc>
      </w:tr>
      <w:tr w14:paraId="4A7A6E3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09C3A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关系库</w:t>
            </w:r>
          </w:p>
        </w:tc>
        <w:tc>
          <w:tcPr>
            <w:tcW w:w="3079" w:type="dxa"/>
            <w:vAlign w:val="center"/>
          </w:tcPr>
          <w:p w14:paraId="159509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用户、站点、预测任务、模型版本、报告记录</w:t>
            </w:r>
          </w:p>
        </w:tc>
        <w:tc>
          <w:tcPr>
            <w:tcW w:w="3079" w:type="dxa"/>
            <w:vAlign w:val="center"/>
          </w:tcPr>
          <w:p w14:paraId="1EBACD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user_info、station_info、prediction_task、model_version、report_record</w:t>
            </w:r>
          </w:p>
        </w:tc>
      </w:tr>
      <w:tr w14:paraId="7343FE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08F06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图数据库</w:t>
            </w:r>
          </w:p>
        </w:tc>
        <w:tc>
          <w:tcPr>
            <w:tcW w:w="3079" w:type="dxa"/>
            <w:vAlign w:val="center"/>
          </w:tcPr>
          <w:p w14:paraId="0ABC9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致浊因子、影响过程、指标关系、区域关系</w:t>
            </w:r>
          </w:p>
        </w:tc>
        <w:tc>
          <w:tcPr>
            <w:tcW w:w="3079" w:type="dxa"/>
            <w:vAlign w:val="center"/>
          </w:tcPr>
          <w:p w14:paraId="2AB6F2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Factor、Process、Indicator、Region、Station</w:t>
            </w:r>
          </w:p>
        </w:tc>
      </w:tr>
    </w:tbl>
    <w:p w14:paraId="0B0E7AC8"/>
    <w:p w14:paraId="55D2BD84">
      <w:pPr>
        <w:pStyle w:val="3"/>
        <w:spacing w:before="200" w:after="120"/>
      </w:pPr>
      <w:r>
        <w:t>5 算法模型设计</w:t>
      </w:r>
    </w:p>
    <w:p w14:paraId="18A2D900">
      <w:pPr>
        <w:pStyle w:val="4"/>
        <w:spacing w:before="120" w:after="120"/>
      </w:pPr>
      <w:r>
        <w:t>5.1 MSCIM浊度预测模型流程</w:t>
      </w:r>
    </w:p>
    <w:p w14:paraId="43E088C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MSCIM模型作为本软件算法层的核心，用于从多模态历史数据中学习浊度变化规律。模型输入包括水质状态特征、气象驱动特征、水文动力特征、水利调度特征和空间站点特征；模型输出为目标区域或站点在指定时间范围内的浊度预测值。</w:t>
      </w:r>
    </w:p>
    <w:p w14:paraId="760D623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模型运行流程为：数据样本读取 → 特征工程处理 → 多模态特征融合 → 模型训练或加载 → 浊度序列预测 → 误差评估 → 结果入库。系统将模型版本、训练数据范围、特征列表、参数文件和评估结果统一保存，便于不同模型版本之间进行对比。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CE116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383452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模型环节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B2143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处理内容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46A384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 w14:paraId="0AB750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22419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输入构建</w:t>
            </w:r>
          </w:p>
        </w:tc>
        <w:tc>
          <w:tcPr>
            <w:tcW w:w="3079" w:type="dxa"/>
            <w:vAlign w:val="center"/>
          </w:tcPr>
          <w:p w14:paraId="49BAFD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读取水质、气象、水文、水利和空间特征</w:t>
            </w:r>
          </w:p>
        </w:tc>
        <w:tc>
          <w:tcPr>
            <w:tcW w:w="3079" w:type="dxa"/>
            <w:vAlign w:val="center"/>
          </w:tcPr>
          <w:p w14:paraId="61FF3A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模型输入样本</w:t>
            </w:r>
          </w:p>
        </w:tc>
      </w:tr>
      <w:tr w14:paraId="234D8F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45C64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特征处理</w:t>
            </w:r>
          </w:p>
        </w:tc>
        <w:tc>
          <w:tcPr>
            <w:tcW w:w="3079" w:type="dxa"/>
            <w:vAlign w:val="center"/>
          </w:tcPr>
          <w:p w14:paraId="3C33D4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归一化、滞后项构造、滑动窗口统计、缺失值补全</w:t>
            </w:r>
          </w:p>
        </w:tc>
        <w:tc>
          <w:tcPr>
            <w:tcW w:w="3079" w:type="dxa"/>
            <w:vAlign w:val="center"/>
          </w:tcPr>
          <w:p w14:paraId="7E627A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特征矩阵</w:t>
            </w:r>
          </w:p>
        </w:tc>
      </w:tr>
      <w:tr w14:paraId="2D5458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7044F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特征融合</w:t>
            </w:r>
          </w:p>
        </w:tc>
        <w:tc>
          <w:tcPr>
            <w:tcW w:w="3079" w:type="dxa"/>
            <w:vAlign w:val="center"/>
          </w:tcPr>
          <w:p w14:paraId="3D4CB4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整合同一时间窗口下的多模态数据</w:t>
            </w:r>
          </w:p>
        </w:tc>
        <w:tc>
          <w:tcPr>
            <w:tcW w:w="3079" w:type="dxa"/>
            <w:vAlign w:val="center"/>
          </w:tcPr>
          <w:p w14:paraId="5CD3DD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融合特征表示</w:t>
            </w:r>
          </w:p>
        </w:tc>
      </w:tr>
      <w:tr w14:paraId="6E2436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55439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模型推理</w:t>
            </w:r>
          </w:p>
        </w:tc>
        <w:tc>
          <w:tcPr>
            <w:tcW w:w="3079" w:type="dxa"/>
            <w:vAlign w:val="center"/>
          </w:tcPr>
          <w:p w14:paraId="5F261C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调用MSCIM模型输出浊度预测值</w:t>
            </w:r>
          </w:p>
        </w:tc>
        <w:tc>
          <w:tcPr>
            <w:tcW w:w="3079" w:type="dxa"/>
            <w:vAlign w:val="center"/>
          </w:tcPr>
          <w:p w14:paraId="40B3E6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预测序列</w:t>
            </w:r>
          </w:p>
        </w:tc>
      </w:tr>
      <w:tr w14:paraId="2D21B0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9043E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结果评估</w:t>
            </w:r>
          </w:p>
        </w:tc>
        <w:tc>
          <w:tcPr>
            <w:tcW w:w="3079" w:type="dxa"/>
            <w:vAlign w:val="center"/>
          </w:tcPr>
          <w:p w14:paraId="68D40F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计算预测误差并与实测值对比</w:t>
            </w:r>
          </w:p>
        </w:tc>
        <w:tc>
          <w:tcPr>
            <w:tcW w:w="3079" w:type="dxa"/>
            <w:vAlign w:val="center"/>
          </w:tcPr>
          <w:p w14:paraId="607CB1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评估指标与对比图</w:t>
            </w:r>
          </w:p>
        </w:tc>
      </w:tr>
    </w:tbl>
    <w:p w14:paraId="1B9980F2"/>
    <w:p w14:paraId="411CE4FF">
      <w:pPr>
        <w:pStyle w:val="4"/>
        <w:spacing w:before="120" w:after="120"/>
      </w:pPr>
      <w:r>
        <w:t>5.2 模型训练与预测流程</w:t>
      </w:r>
    </w:p>
    <w:p w14:paraId="4B2DD0C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当系统处于模型训练模式时，用户选择训练数据范围、验证数据范围和输入因子，系统自动完成样本划分、模型训练、参数保存和评估指标生成。当系统处于预测模式时，用户选择目标站点、预测起止时间和模型版本，系统加载已保存的模型参数，生成浊度预测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FFAF7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88465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流程阶段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E6AB2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训练模式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A4B95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预测模式</w:t>
            </w:r>
          </w:p>
        </w:tc>
      </w:tr>
      <w:tr w14:paraId="6D22FA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B63F5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数据选择</w:t>
            </w:r>
          </w:p>
        </w:tc>
        <w:tc>
          <w:tcPr>
            <w:tcW w:w="3079" w:type="dxa"/>
            <w:vAlign w:val="center"/>
          </w:tcPr>
          <w:p w14:paraId="0C09CC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选择历史样本、训练区间和验证区间</w:t>
            </w:r>
          </w:p>
        </w:tc>
        <w:tc>
          <w:tcPr>
            <w:tcW w:w="3079" w:type="dxa"/>
            <w:vAlign w:val="center"/>
          </w:tcPr>
          <w:p w14:paraId="7020A3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选择目标站点、预测区间和输入数据</w:t>
            </w:r>
          </w:p>
        </w:tc>
      </w:tr>
      <w:tr w14:paraId="115831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C5625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数据处理</w:t>
            </w:r>
          </w:p>
        </w:tc>
        <w:tc>
          <w:tcPr>
            <w:tcW w:w="3079" w:type="dxa"/>
            <w:vAlign w:val="center"/>
          </w:tcPr>
          <w:p w14:paraId="10A6AA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执行清洗、对齐、特征构建和标准化</w:t>
            </w:r>
          </w:p>
        </w:tc>
        <w:tc>
          <w:tcPr>
            <w:tcW w:w="3079" w:type="dxa"/>
            <w:vAlign w:val="center"/>
          </w:tcPr>
          <w:p w14:paraId="1DBC15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执行同训练阶段一致的特征处理</w:t>
            </w:r>
          </w:p>
        </w:tc>
      </w:tr>
      <w:tr w14:paraId="58C97A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56739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模型调用</w:t>
            </w:r>
          </w:p>
        </w:tc>
        <w:tc>
          <w:tcPr>
            <w:tcW w:w="3079" w:type="dxa"/>
            <w:vAlign w:val="center"/>
          </w:tcPr>
          <w:p w14:paraId="1A73A9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训练MSCIM模型并保存参数</w:t>
            </w:r>
          </w:p>
        </w:tc>
        <w:tc>
          <w:tcPr>
            <w:tcW w:w="3079" w:type="dxa"/>
            <w:vAlign w:val="center"/>
          </w:tcPr>
          <w:p w14:paraId="3DCD6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加载指定版本MSCIM模型</w:t>
            </w:r>
          </w:p>
        </w:tc>
      </w:tr>
      <w:tr w14:paraId="0A4ECD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2020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结果输出</w:t>
            </w:r>
          </w:p>
        </w:tc>
        <w:tc>
          <w:tcPr>
            <w:tcW w:w="3079" w:type="dxa"/>
            <w:vAlign w:val="center"/>
          </w:tcPr>
          <w:p w14:paraId="3F7410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输出训练误差、验证误差和模型文件</w:t>
            </w:r>
          </w:p>
        </w:tc>
        <w:tc>
          <w:tcPr>
            <w:tcW w:w="3079" w:type="dxa"/>
            <w:vAlign w:val="center"/>
          </w:tcPr>
          <w:p w14:paraId="386E0F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输出预测值、对比图和预测报告</w:t>
            </w:r>
          </w:p>
        </w:tc>
      </w:tr>
    </w:tbl>
    <w:p w14:paraId="63DC6160"/>
    <w:p w14:paraId="6A6AF821">
      <w:pPr>
        <w:pStyle w:val="4"/>
        <w:spacing w:before="120" w:after="120"/>
      </w:pPr>
      <w:r>
        <w:t>5.3 预测结果评估</w:t>
      </w:r>
    </w:p>
    <w:p w14:paraId="61C2297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支持将预测浊度值与实测浊度值进行对比，并生成误差评估指标。评估结果用于判断模型在不同站点、不同季节和不同水动力条件下的适用性。系统可对误差较大的时间段进行标记，并与致浊因子诊断模块联动，分析误差产生原因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6DC04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146B0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评估指标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6139F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3463A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 w14:paraId="610A04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3A8FD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MAE</w:t>
            </w:r>
          </w:p>
        </w:tc>
        <w:tc>
          <w:tcPr>
            <w:tcW w:w="3079" w:type="dxa"/>
            <w:vAlign w:val="center"/>
          </w:tcPr>
          <w:p w14:paraId="37963B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</w:t>
            </w:r>
          </w:p>
        </w:tc>
        <w:tc>
          <w:tcPr>
            <w:tcW w:w="3079" w:type="dxa"/>
            <w:vAlign w:val="center"/>
          </w:tcPr>
          <w:p w14:paraId="5EB868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衡量预测值与实测值的平均偏差</w:t>
            </w:r>
          </w:p>
        </w:tc>
      </w:tr>
      <w:tr w14:paraId="7D42E5A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2B417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RMSE</w:t>
            </w:r>
          </w:p>
        </w:tc>
        <w:tc>
          <w:tcPr>
            <w:tcW w:w="3079" w:type="dxa"/>
            <w:vAlign w:val="center"/>
          </w:tcPr>
          <w:p w14:paraId="7DF097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均方根误差</w:t>
            </w:r>
          </w:p>
        </w:tc>
        <w:tc>
          <w:tcPr>
            <w:tcW w:w="3079" w:type="dxa"/>
            <w:vAlign w:val="center"/>
          </w:tcPr>
          <w:p w14:paraId="2346FF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对较大误差更敏感，适合识别突变时段预测偏差</w:t>
            </w:r>
          </w:p>
        </w:tc>
      </w:tr>
      <w:tr w14:paraId="7D8158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E500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R²</w:t>
            </w:r>
          </w:p>
        </w:tc>
        <w:tc>
          <w:tcPr>
            <w:tcW w:w="3079" w:type="dxa"/>
            <w:vAlign w:val="center"/>
          </w:tcPr>
          <w:p w14:paraId="43FAAF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决定系数</w:t>
            </w:r>
          </w:p>
        </w:tc>
        <w:tc>
          <w:tcPr>
            <w:tcW w:w="3079" w:type="dxa"/>
            <w:vAlign w:val="center"/>
          </w:tcPr>
          <w:p w14:paraId="6EC4D3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衡量模型对浊度变化的解释能力</w:t>
            </w:r>
          </w:p>
        </w:tc>
      </w:tr>
      <w:tr w14:paraId="11C168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F0D9C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MAPE</w:t>
            </w:r>
          </w:p>
        </w:tc>
        <w:tc>
          <w:tcPr>
            <w:tcW w:w="3079" w:type="dxa"/>
            <w:vAlign w:val="center"/>
          </w:tcPr>
          <w:p w14:paraId="094EAC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平均绝对百分比误差</w:t>
            </w:r>
          </w:p>
        </w:tc>
        <w:tc>
          <w:tcPr>
            <w:tcW w:w="3079" w:type="dxa"/>
            <w:vAlign w:val="center"/>
          </w:tcPr>
          <w:p w14:paraId="405549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用于比较不同站点或不同量级数据的相对误差</w:t>
            </w:r>
          </w:p>
        </w:tc>
      </w:tr>
    </w:tbl>
    <w:p w14:paraId="798D2142"/>
    <w:p w14:paraId="38970762">
      <w:pPr>
        <w:pStyle w:val="3"/>
        <w:spacing w:before="200" w:after="120"/>
      </w:pPr>
      <w:r>
        <w:t>6 软件操作说明</w:t>
      </w:r>
    </w:p>
    <w:p w14:paraId="40DFB7AC">
      <w:pPr>
        <w:pStyle w:val="4"/>
        <w:spacing w:before="120" w:after="120"/>
      </w:pPr>
      <w:r>
        <w:t>6.1 用户登录与权限管理</w:t>
      </w:r>
    </w:p>
    <w:p w14:paraId="1FFC90A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打开系统登录页面后，输入账号和密码进入系统。系统根据用户角色分配不同功能权限。管理员可进行用户管理、数据源配置、模型管理和系统参数配置；普通分析人员可进行数据查询、预测任务创建和报告下载；访客用户仅可查看授权范围内的可视化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9F4D5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CB156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7BC3D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权限范围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F177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392BC3A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E5DD7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3079" w:type="dxa"/>
            <w:vAlign w:val="center"/>
          </w:tcPr>
          <w:p w14:paraId="67D97C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用户管理、数据源管理、模型管理、系统配置、全部数据访问</w:t>
            </w:r>
          </w:p>
        </w:tc>
        <w:tc>
          <w:tcPr>
            <w:tcW w:w="3079" w:type="dxa"/>
            <w:vAlign w:val="center"/>
          </w:tcPr>
          <w:p w14:paraId="4A1016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负责系统维护和权限分配</w:t>
            </w:r>
          </w:p>
        </w:tc>
      </w:tr>
      <w:tr w14:paraId="514E4B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8266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分析人员</w:t>
            </w:r>
          </w:p>
        </w:tc>
        <w:tc>
          <w:tcPr>
            <w:tcW w:w="3079" w:type="dxa"/>
            <w:vAlign w:val="center"/>
          </w:tcPr>
          <w:p w14:paraId="6C29B0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数据查询、预测任务、可视化分析、报告生成</w:t>
            </w:r>
          </w:p>
        </w:tc>
        <w:tc>
          <w:tcPr>
            <w:tcW w:w="3079" w:type="dxa"/>
            <w:vAlign w:val="center"/>
          </w:tcPr>
          <w:p w14:paraId="61050C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负责日常分析和预测模拟</w:t>
            </w:r>
          </w:p>
        </w:tc>
      </w:tr>
      <w:tr w14:paraId="5E44D0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3F4A0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访客用户</w:t>
            </w:r>
          </w:p>
        </w:tc>
        <w:tc>
          <w:tcPr>
            <w:tcW w:w="3079" w:type="dxa"/>
            <w:vAlign w:val="center"/>
          </w:tcPr>
          <w:p w14:paraId="51E8CD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看板查看、部分查询、报告浏览</w:t>
            </w:r>
          </w:p>
        </w:tc>
        <w:tc>
          <w:tcPr>
            <w:tcW w:w="3079" w:type="dxa"/>
            <w:vAlign w:val="center"/>
          </w:tcPr>
          <w:p w14:paraId="4B72F8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用于结果展示和业务汇报</w:t>
            </w:r>
          </w:p>
        </w:tc>
      </w:tr>
    </w:tbl>
    <w:p w14:paraId="6646C62C"/>
    <w:p w14:paraId="748AFE2F">
      <w:pPr>
        <w:pStyle w:val="4"/>
        <w:spacing w:before="120" w:after="120"/>
      </w:pPr>
      <w:r>
        <w:t>6.2 数据管理操作</w:t>
      </w:r>
    </w:p>
    <w:p w14:paraId="30D3651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数据管理”页面后，可选择数据类别并上传数据文件，系统自动识别字段并提示用户完成字段映射。字段映射完成后，用户点击“开始导入”，系统执行格式检查、重复记录检查、异常值识别和标准化处理。导入完成后，系统显</w:t>
      </w:r>
      <w:bookmarkStart w:id="0" w:name="_GoBack"/>
      <w:bookmarkEnd w:id="0"/>
      <w:r>
        <w:rPr>
          <w:rFonts w:ascii="Times New Roman" w:hAnsi="Times New Roman" w:eastAsia="宋体"/>
          <w:b w:val="0"/>
        </w:rPr>
        <w:t>示导入成功条数、失败条数和异常记录清单。对于已入库数据，用户可按站点、日期、指标和来源进行检索，也可查看单条记录详情。管理员可对错误数据进行标记、修正或删除，所有数据变更均写入操作日志。</w:t>
      </w:r>
    </w:p>
    <w:p w14:paraId="7512A435">
      <w:pPr>
        <w:pStyle w:val="4"/>
        <w:spacing w:before="120" w:after="120"/>
      </w:pPr>
      <w:r>
        <w:t>6.3 可视化查询操作</w:t>
      </w:r>
    </w:p>
    <w:p w14:paraId="1782395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水质可视化”页面后，可在筛选区选择水域名称、站点名称、监测指标和时间范围。系统根据筛选条件返回数据，并在图表区域展示时间序列曲线、指标统计卡片和站点分布地图。用户可切换日尺度、小时尺度或自定义尺度，比较不同时间粒度下的水质变化趋势。当用户选择多个指标时，系统支持多轴图表展示，便于观察浊度与水温、降雨、流速、潮位等指标之间的同步变化。地图界面可通过颜色深浅表示不同浊度等级，帮助用户快速识别空间差异。</w:t>
      </w:r>
    </w:p>
    <w:p w14:paraId="146ED416">
      <w:pPr>
        <w:pStyle w:val="4"/>
        <w:spacing w:before="120" w:after="120"/>
      </w:pPr>
      <w:r>
        <w:t>6.4 浊度预测操作</w:t>
      </w:r>
    </w:p>
    <w:p w14:paraId="2BF3DD6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浊度预测”页面后，首先选择目标区域或监测站点，然后选择预测时间范围、预测步长和模型版本。系统自动读取对应时间范围内的多模态输入数据，并执行特征处理。点击“开始预测”后，系统生成预测任务，后台调用MSCIM模型完成计算。预测完成后，系统在结果页面展示预测浊度曲线、实测浊度曲线和误差曲线。用户可查看每个时间点的预测值、实测值和误差值，也可下载预测结果表格。</w:t>
      </w:r>
    </w:p>
    <w:p w14:paraId="5DA3B007">
      <w:pPr>
        <w:pStyle w:val="4"/>
        <w:spacing w:before="120" w:after="120"/>
      </w:pPr>
      <w:r>
        <w:t>6.5 诊断报告输出</w:t>
      </w:r>
    </w:p>
    <w:p w14:paraId="008684E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在预测结果页面点击“因果诊断”后，系统读取该预测任务的输入因子、预测误差、历史相似过程和知识图谱关系，计算候选致浊因子的影响强度。系统最终输出因子排序、主导过程判断、时间段解释和建议关注指标。诊断报告主要包括目标区域和时间范围、浊度变化概况、主导致浊因子及影响强度、机制解释和管理建议。</w:t>
      </w:r>
    </w:p>
    <w:p w14:paraId="27540CC1">
      <w:pPr>
        <w:pStyle w:val="3"/>
        <w:spacing w:before="200" w:after="120"/>
      </w:pPr>
      <w:r>
        <w:t>7 系统安全与异常处理</w:t>
      </w:r>
    </w:p>
    <w:p w14:paraId="489399D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在用户登录、数据导入、模型调用和报告下载等环节设置安全控制。登录环节采用账号密码验证和角色权限控制；数据导入环节检查文件格式、字段合法性和数据范围；模型调用环节记录任务参数、模型版本和运行状态；报告下载环节校验用户权限，防止未授权用户访问敏感数据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4444C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178518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异常类型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0F8A7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处理方式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8BC5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提示信息</w:t>
            </w:r>
          </w:p>
        </w:tc>
      </w:tr>
      <w:tr w14:paraId="537422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D12DD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文件格式错误</w:t>
            </w:r>
          </w:p>
        </w:tc>
        <w:tc>
          <w:tcPr>
            <w:tcW w:w="3079" w:type="dxa"/>
            <w:vAlign w:val="center"/>
          </w:tcPr>
          <w:p w14:paraId="6E15D5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拒绝导入并提示支持格式</w:t>
            </w:r>
          </w:p>
        </w:tc>
        <w:tc>
          <w:tcPr>
            <w:tcW w:w="3079" w:type="dxa"/>
            <w:vAlign w:val="center"/>
          </w:tcPr>
          <w:p w14:paraId="585A37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文件格式不符合要求，请上传CSV或Excel文件</w:t>
            </w:r>
          </w:p>
        </w:tc>
      </w:tr>
      <w:tr w14:paraId="07DFAD1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E5754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字段缺失</w:t>
            </w:r>
          </w:p>
        </w:tc>
        <w:tc>
          <w:tcPr>
            <w:tcW w:w="3079" w:type="dxa"/>
            <w:vAlign w:val="center"/>
          </w:tcPr>
          <w:p w14:paraId="4B6090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中断导入并列出缺失字段</w:t>
            </w:r>
          </w:p>
        </w:tc>
        <w:tc>
          <w:tcPr>
            <w:tcW w:w="3079" w:type="dxa"/>
            <w:vAlign w:val="center"/>
          </w:tcPr>
          <w:p w14:paraId="74E62C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缺少站点编号、采样时间或浊度字段</w:t>
            </w:r>
          </w:p>
        </w:tc>
      </w:tr>
      <w:tr w14:paraId="46A52F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D2A29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数据越界</w:t>
            </w:r>
          </w:p>
        </w:tc>
        <w:tc>
          <w:tcPr>
            <w:tcW w:w="3079" w:type="dxa"/>
            <w:vAlign w:val="center"/>
          </w:tcPr>
          <w:p w14:paraId="7C0E1E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标记异常并写入异常记录表</w:t>
            </w:r>
          </w:p>
        </w:tc>
        <w:tc>
          <w:tcPr>
            <w:tcW w:w="3079" w:type="dxa"/>
            <w:vAlign w:val="center"/>
          </w:tcPr>
          <w:p w14:paraId="75404A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检测到异常值，请确认数据来源</w:t>
            </w:r>
          </w:p>
        </w:tc>
      </w:tr>
      <w:tr w14:paraId="5AF740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93262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模型调用失败</w:t>
            </w:r>
          </w:p>
        </w:tc>
        <w:tc>
          <w:tcPr>
            <w:tcW w:w="3079" w:type="dxa"/>
            <w:vAlign w:val="center"/>
          </w:tcPr>
          <w:p w14:paraId="2F5C12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记录错误日志并允许重新运行</w:t>
            </w:r>
          </w:p>
        </w:tc>
        <w:tc>
          <w:tcPr>
            <w:tcW w:w="3079" w:type="dxa"/>
            <w:vAlign w:val="center"/>
          </w:tcPr>
          <w:p w14:paraId="2BE0BF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模型服务暂不可用，请稍后重试</w:t>
            </w:r>
          </w:p>
        </w:tc>
      </w:tr>
      <w:tr w14:paraId="70EB8A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10A4A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权限不足</w:t>
            </w:r>
          </w:p>
        </w:tc>
        <w:tc>
          <w:tcPr>
            <w:tcW w:w="3079" w:type="dxa"/>
            <w:vAlign w:val="center"/>
          </w:tcPr>
          <w:p w14:paraId="024911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拒绝访问目标功能</w:t>
            </w:r>
          </w:p>
        </w:tc>
        <w:tc>
          <w:tcPr>
            <w:tcW w:w="3079" w:type="dxa"/>
            <w:vAlign w:val="center"/>
          </w:tcPr>
          <w:p w14:paraId="627EA6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当前账号无权执行该操作</w:t>
            </w:r>
          </w:p>
        </w:tc>
      </w:tr>
    </w:tbl>
    <w:p w14:paraId="6B5C13ED"/>
    <w:p w14:paraId="6FCEA5E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系统日志包括登录日志、导入日志、查询日志、预测任务日志、模型调用日志和报告生成日志。管理员可通过日志页面追踪系统运行状态，定位异常来源。</w:t>
      </w:r>
    </w:p>
    <w:p w14:paraId="624ED02C">
      <w:pPr>
        <w:pStyle w:val="3"/>
        <w:spacing w:before="200" w:after="120"/>
      </w:pPr>
      <w:r>
        <w:t>8 软件特点与应用价值</w:t>
      </w:r>
    </w:p>
    <w:p w14:paraId="6688003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的主要特点在于将多源异构数据管理、MSCIM浊度预测、可视化交互和致浊因子归因诊断整合到同一系统中。与单纯数据展示平台相比，本软件不仅展示历史数据，还能基于历史多模态数据模拟未来或指定时段的浊度变化；与单一预测模型相比，本软件进一步提供预测结果解释和致浊因子诊断，增强结果可理解性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00243F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547E0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特点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D2ABB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具体体现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F93D7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应用价值</w:t>
            </w:r>
          </w:p>
        </w:tc>
      </w:tr>
      <w:tr w14:paraId="6135EF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62F97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多模态融合</w:t>
            </w:r>
          </w:p>
        </w:tc>
        <w:tc>
          <w:tcPr>
            <w:tcW w:w="3079" w:type="dxa"/>
            <w:vAlign w:val="center"/>
          </w:tcPr>
          <w:p w14:paraId="70CE99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融合水质、气象、水文、水利和空间站点数据</w:t>
            </w:r>
          </w:p>
        </w:tc>
        <w:tc>
          <w:tcPr>
            <w:tcW w:w="3079" w:type="dxa"/>
            <w:vAlign w:val="center"/>
          </w:tcPr>
          <w:p w14:paraId="23B43F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提高浊度预测和成因分析的数据基础完整性</w:t>
            </w:r>
          </w:p>
        </w:tc>
      </w:tr>
      <w:tr w14:paraId="40A47A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303BD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动态预测</w:t>
            </w:r>
          </w:p>
        </w:tc>
        <w:tc>
          <w:tcPr>
            <w:tcW w:w="3079" w:type="dxa"/>
            <w:vAlign w:val="center"/>
          </w:tcPr>
          <w:p w14:paraId="1A76D8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利用MSCIM模型输出浊度预测序列</w:t>
            </w:r>
          </w:p>
        </w:tc>
        <w:tc>
          <w:tcPr>
            <w:tcW w:w="3079" w:type="dxa"/>
            <w:vAlign w:val="center"/>
          </w:tcPr>
          <w:p w14:paraId="4F6011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辅助提前判断水体浑浊变化趋势</w:t>
            </w:r>
          </w:p>
        </w:tc>
      </w:tr>
      <w:tr w14:paraId="1007AF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7A6E1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交互可视化</w:t>
            </w:r>
          </w:p>
        </w:tc>
        <w:tc>
          <w:tcPr>
            <w:tcW w:w="3079" w:type="dxa"/>
            <w:vAlign w:val="center"/>
          </w:tcPr>
          <w:p w14:paraId="0164AD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提供看板、曲线、地图和对比图</w:t>
            </w:r>
          </w:p>
        </w:tc>
        <w:tc>
          <w:tcPr>
            <w:tcW w:w="3079" w:type="dxa"/>
            <w:vAlign w:val="center"/>
          </w:tcPr>
          <w:p w14:paraId="0AA482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降低数据分析门槛，提高业务使用效率</w:t>
            </w:r>
          </w:p>
        </w:tc>
      </w:tr>
      <w:tr w14:paraId="348DA10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161C6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因果归因</w:t>
            </w:r>
          </w:p>
        </w:tc>
        <w:tc>
          <w:tcPr>
            <w:tcW w:w="3079" w:type="dxa"/>
            <w:vAlign w:val="center"/>
          </w:tcPr>
          <w:p w14:paraId="6F8B43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结合因果推断和知识图谱识别主导致浊因子</w:t>
            </w:r>
          </w:p>
        </w:tc>
        <w:tc>
          <w:tcPr>
            <w:tcW w:w="3079" w:type="dxa"/>
            <w:vAlign w:val="center"/>
          </w:tcPr>
          <w:p w14:paraId="3C268E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帮助解释浑浊机制，为管理决策提供依据</w:t>
            </w:r>
          </w:p>
        </w:tc>
      </w:tr>
      <w:tr w14:paraId="7878E0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EFDC8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报告输出</w:t>
            </w:r>
          </w:p>
        </w:tc>
        <w:tc>
          <w:tcPr>
            <w:tcW w:w="3079" w:type="dxa"/>
            <w:vAlign w:val="center"/>
          </w:tcPr>
          <w:p w14:paraId="75591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自动生成预测对比和诊断分析报告</w:t>
            </w:r>
          </w:p>
        </w:tc>
        <w:tc>
          <w:tcPr>
            <w:tcW w:w="3079" w:type="dxa"/>
            <w:vAlign w:val="center"/>
          </w:tcPr>
          <w:p w14:paraId="558BC4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便于科研记录、业务汇报和成果归档</w:t>
            </w:r>
          </w:p>
        </w:tc>
      </w:tr>
    </w:tbl>
    <w:p w14:paraId="2B123059"/>
    <w:p w14:paraId="68B4562C">
      <w:pPr>
        <w:pStyle w:val="3"/>
        <w:spacing w:before="200" w:after="120"/>
      </w:pPr>
      <w:r>
        <w:t>9 软著登记信息建议</w:t>
      </w:r>
    </w:p>
    <w:p w14:paraId="4AF5994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以下内容可作为软件著作权登记申请表填写时的参考，最终信息应以实际开发单位、开发人员、完成时间和源程序为准。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B0EC3D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7C9FEC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软件全称</w:t>
            </w:r>
          </w:p>
        </w:tc>
        <w:tc>
          <w:tcPr>
            <w:tcW w:w="4618" w:type="dxa"/>
            <w:vAlign w:val="center"/>
          </w:tcPr>
          <w:p w14:paraId="1BB5E2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549107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571A5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软件简称</w:t>
            </w:r>
          </w:p>
        </w:tc>
        <w:tc>
          <w:tcPr>
            <w:tcW w:w="4618" w:type="dxa"/>
            <w:vAlign w:val="center"/>
          </w:tcPr>
          <w:p w14:paraId="3AE72D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水体浊度预测系统</w:t>
            </w:r>
          </w:p>
        </w:tc>
      </w:tr>
      <w:tr w14:paraId="4BB1AF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82795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01912D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376304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23112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软件分类</w:t>
            </w:r>
          </w:p>
        </w:tc>
        <w:tc>
          <w:tcPr>
            <w:tcW w:w="4618" w:type="dxa"/>
            <w:vAlign w:val="center"/>
          </w:tcPr>
          <w:p w14:paraId="75B556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行业应用软件/数据处理软件/智能预测分析软件</w:t>
            </w:r>
          </w:p>
        </w:tc>
      </w:tr>
      <w:tr w14:paraId="40CE3C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B645B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开发方式</w:t>
            </w:r>
          </w:p>
        </w:tc>
        <w:tc>
          <w:tcPr>
            <w:tcW w:w="4618" w:type="dxa"/>
            <w:vAlign w:val="center"/>
          </w:tcPr>
          <w:p w14:paraId="30088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原始取得</w:t>
            </w:r>
          </w:p>
        </w:tc>
      </w:tr>
      <w:tr w14:paraId="6FA018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6CCCA0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主要功能</w:t>
            </w:r>
          </w:p>
        </w:tc>
        <w:tc>
          <w:tcPr>
            <w:tcW w:w="4618" w:type="dxa"/>
            <w:vAlign w:val="center"/>
          </w:tcPr>
          <w:p w14:paraId="0F6323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多源水环境数据融合管理、水质可视化交互、浊度动态预测模拟、致浊因子因果诊断与归因分析</w:t>
            </w:r>
          </w:p>
        </w:tc>
      </w:tr>
      <w:tr w14:paraId="7B44F1F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59342D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技术特点</w:t>
            </w:r>
          </w:p>
        </w:tc>
        <w:tc>
          <w:tcPr>
            <w:tcW w:w="4618" w:type="dxa"/>
            <w:vAlign w:val="center"/>
          </w:tcPr>
          <w:p w14:paraId="16324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多模态数据融合、MSCIM模型预测、时序与空间联合分析、知识图谱辅助归因、预测结果可视化对比</w:t>
            </w:r>
          </w:p>
        </w:tc>
      </w:tr>
      <w:tr w14:paraId="2547953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E9BC0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运行环境</w:t>
            </w:r>
          </w:p>
        </w:tc>
        <w:tc>
          <w:tcPr>
            <w:tcW w:w="4618" w:type="dxa"/>
            <w:vAlign w:val="center"/>
          </w:tcPr>
          <w:p w14:paraId="2DFE62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Windows/Linux服务器，浏览器客户端，关系数据库、时序数据库和图数据库环境</w:t>
            </w:r>
          </w:p>
        </w:tc>
      </w:tr>
    </w:tbl>
    <w:p w14:paraId="0B9C1BCB"/>
    <w:p w14:paraId="479E72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申请软著时，除本说明书外，通常还需要提交软件源程序文档。源程序文档应与软件名称、版本号和说明书功能保持一致，建议从真实项目代码中截取前后连续部分，避免仅用伪代码替代实际源程序。</w:t>
      </w:r>
    </w:p>
    <w:p w14:paraId="48D9B3EB">
      <w:pPr>
        <w:pStyle w:val="3"/>
        <w:spacing w:before="200" w:after="120"/>
      </w:pPr>
      <w:r>
        <w:t>附录A 软件主要界面说明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F1F31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D87DE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界面名称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011DD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主要元素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F99F3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</w:tr>
      <w:tr w14:paraId="245E42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E56A4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登录界面</w:t>
            </w:r>
          </w:p>
        </w:tc>
        <w:tc>
          <w:tcPr>
            <w:tcW w:w="3079" w:type="dxa"/>
            <w:vAlign w:val="center"/>
          </w:tcPr>
          <w:p w14:paraId="617FC4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账号输入框、密码输入框、登录按钮</w:t>
            </w:r>
          </w:p>
        </w:tc>
        <w:tc>
          <w:tcPr>
            <w:tcW w:w="3079" w:type="dxa"/>
            <w:vAlign w:val="center"/>
          </w:tcPr>
          <w:p w14:paraId="4C5EAE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完成用户身份验证并进入系统</w:t>
            </w:r>
          </w:p>
        </w:tc>
      </w:tr>
      <w:tr w14:paraId="54E6E08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E97BD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首页看板</w:t>
            </w:r>
          </w:p>
        </w:tc>
        <w:tc>
          <w:tcPr>
            <w:tcW w:w="3079" w:type="dxa"/>
            <w:vAlign w:val="center"/>
          </w:tcPr>
          <w:p w14:paraId="19DC48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站点数量、最新浊度、异常指标、预测任务、趋势图</w:t>
            </w:r>
          </w:p>
        </w:tc>
        <w:tc>
          <w:tcPr>
            <w:tcW w:w="3079" w:type="dxa"/>
            <w:vAlign w:val="center"/>
          </w:tcPr>
          <w:p w14:paraId="4BE076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展示系统总体运行状态和水质概况</w:t>
            </w:r>
          </w:p>
        </w:tc>
      </w:tr>
      <w:tr w14:paraId="1D82BA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83E66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数据管理界面</w:t>
            </w:r>
          </w:p>
        </w:tc>
        <w:tc>
          <w:tcPr>
            <w:tcW w:w="3079" w:type="dxa"/>
            <w:vAlign w:val="center"/>
          </w:tcPr>
          <w:p w14:paraId="4D89BB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数据类别选择、文件上传、字段映射、导入记录表</w:t>
            </w:r>
          </w:p>
        </w:tc>
        <w:tc>
          <w:tcPr>
            <w:tcW w:w="3079" w:type="dxa"/>
            <w:vAlign w:val="center"/>
          </w:tcPr>
          <w:p w14:paraId="3C73EA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完成多源数据导入、清洗和入库</w:t>
            </w:r>
          </w:p>
        </w:tc>
      </w:tr>
      <w:tr w14:paraId="1E45400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69E14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水质可视化界面</w:t>
            </w:r>
          </w:p>
        </w:tc>
        <w:tc>
          <w:tcPr>
            <w:tcW w:w="3079" w:type="dxa"/>
            <w:vAlign w:val="center"/>
          </w:tcPr>
          <w:p w14:paraId="1D1119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筛选区、时序曲线、空间地图、指标卡片</w:t>
            </w:r>
          </w:p>
        </w:tc>
        <w:tc>
          <w:tcPr>
            <w:tcW w:w="3079" w:type="dxa"/>
            <w:vAlign w:val="center"/>
          </w:tcPr>
          <w:p w14:paraId="3530D9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展示水质指标变化趋势和空间分布</w:t>
            </w:r>
          </w:p>
        </w:tc>
      </w:tr>
      <w:tr w14:paraId="65E6E0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79342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浊度预测界面</w:t>
            </w:r>
          </w:p>
        </w:tc>
        <w:tc>
          <w:tcPr>
            <w:tcW w:w="3079" w:type="dxa"/>
            <w:vAlign w:val="center"/>
          </w:tcPr>
          <w:p w14:paraId="6882E6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区域选择、时间范围、模型版本、预测按钮、结果图表</w:t>
            </w:r>
          </w:p>
        </w:tc>
        <w:tc>
          <w:tcPr>
            <w:tcW w:w="3079" w:type="dxa"/>
            <w:vAlign w:val="center"/>
          </w:tcPr>
          <w:p w14:paraId="328085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配置预测任务并查看预测结果</w:t>
            </w:r>
          </w:p>
        </w:tc>
      </w:tr>
      <w:tr w14:paraId="2CFF3B8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124F5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因果诊断界面</w:t>
            </w:r>
          </w:p>
        </w:tc>
        <w:tc>
          <w:tcPr>
            <w:tcW w:w="3079" w:type="dxa"/>
            <w:vAlign w:val="center"/>
          </w:tcPr>
          <w:p w14:paraId="279DC7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因子排序、贡献度图、知识图谱、报告生成按钮</w:t>
            </w:r>
          </w:p>
        </w:tc>
        <w:tc>
          <w:tcPr>
            <w:tcW w:w="3079" w:type="dxa"/>
            <w:vAlign w:val="center"/>
          </w:tcPr>
          <w:p w14:paraId="471C50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查看主导致浊因子并生成归因报告</w:t>
            </w:r>
          </w:p>
        </w:tc>
      </w:tr>
      <w:tr w14:paraId="669CB8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4DE60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系统管理界面</w:t>
            </w:r>
          </w:p>
        </w:tc>
        <w:tc>
          <w:tcPr>
            <w:tcW w:w="3079" w:type="dxa"/>
            <w:vAlign w:val="center"/>
          </w:tcPr>
          <w:p w14:paraId="341B37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用户管理、角色权限、模型版本、日志管理</w:t>
            </w:r>
          </w:p>
        </w:tc>
        <w:tc>
          <w:tcPr>
            <w:tcW w:w="3079" w:type="dxa"/>
            <w:vAlign w:val="center"/>
          </w:tcPr>
          <w:p w14:paraId="02A1BA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完成系统运维与权限配置</w:t>
            </w:r>
          </w:p>
        </w:tc>
      </w:tr>
    </w:tbl>
    <w:p w14:paraId="4595C01F"/>
    <w:p w14:paraId="1E54DBA2">
      <w:pPr>
        <w:pStyle w:val="3"/>
        <w:spacing w:before="200" w:after="120"/>
      </w:pPr>
      <w:r>
        <w:t>附录B 源程序目录结构建议</w:t>
      </w:r>
    </w:p>
    <w:p w14:paraId="350CA17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以下目录结构用于指导源程序整理，具体文件名称应以实际开发代码为准。软著提交时，源程序应体现软件的核心功能模块，包括数据接入、清洗、模型预测、可视化接口、因果诊断和报告生成等内容。</w:t>
      </w:r>
    </w:p>
    <w:p w14:paraId="7DCB4275">
      <w:pPr>
        <w:spacing w:line="240" w:lineRule="auto"/>
        <w:ind w:left="113"/>
      </w:pPr>
      <w:r>
        <w:rPr>
          <w:rFonts w:ascii="Courier New" w:hAnsi="Courier New" w:eastAsia="宋体"/>
          <w:sz w:val="17"/>
        </w:rPr>
        <w:t>turbidity_prediction_system/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app.py                          # 系统启动入口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config/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database_config.py           # 数据库连接配置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model_config.py              # MSCIM模型参数配置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data/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data_importer.py             # 多源数据接入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data_cleaner.py              # 数据清洗与异常值处理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data_standardizer.py         # 字段映射与单位标准化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data_storage.py              # 数据入库与查询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model/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mscim_model.py               # MSCIM浊度预测模型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feature_builder.py           # 多模态特征构建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model_trainer.py             # 模型训练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model_predictor.py           # 模型预测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diagnosis/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causal_analyzer.py           # 因果推断分析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knowledge_graph.py           # 致浊因子知识图谱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attribution_report.py        # 归因诊断报告生成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visualization/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dashboard_api.py             # 可视化看板接口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chart_service.py             # 时间序列图表服务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map_service.py               # 站点空间分布服务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user/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auth_service.py              # 用户登录认证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permission_service.py        # 角色权限管理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└── report/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 xml:space="preserve">    ├── prediction_report.py         # 预测对比报告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 xml:space="preserve">    └── export_service.py            # Word/PDF/Excel导出服务</w:t>
      </w:r>
      <w:r>
        <w:rPr>
          <w:rFonts w:ascii="Courier New" w:hAnsi="Courier New" w:eastAsia="宋体"/>
          <w:sz w:val="17"/>
        </w:rPr>
        <w:br w:type="textWrapping"/>
      </w:r>
    </w:p>
    <w:p w14:paraId="0CB4FD5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源程序整理时，建议确保模块命名与说明书中的四个核心功能对应：数据融合与管理模块、可视化与交互模块、浊度预测与模拟模块、致浊因子诊断与归因模块。这样能够增强软件说明书、申请表和源程序之间的一致性。</w:t>
      </w:r>
    </w:p>
    <w:p w14:paraId="6738557B">
      <w:pPr>
        <w:pStyle w:val="3"/>
        <w:spacing w:before="200" w:after="120"/>
      </w:pPr>
      <w:r>
        <w:t>附录C 版本更新记录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229A23B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16B36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版本号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92AEE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84DA1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更新内容</w:t>
            </w:r>
          </w:p>
        </w:tc>
      </w:tr>
      <w:tr w14:paraId="3F34BC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AFA88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3079" w:type="dxa"/>
            <w:vAlign w:val="center"/>
          </w:tcPr>
          <w:p w14:paraId="158975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2026年5月</w:t>
            </w:r>
          </w:p>
        </w:tc>
        <w:tc>
          <w:tcPr>
            <w:tcW w:w="3079" w:type="dxa"/>
            <w:vAlign w:val="center"/>
          </w:tcPr>
          <w:p w14:paraId="53B170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完成多源数据融合管理、水质可视化、MSCIM浊度预测、预测对比、致浊因子归因诊断和报告导出等基础功能设计。</w:t>
            </w:r>
          </w:p>
        </w:tc>
      </w:tr>
    </w:tbl>
    <w:p w14:paraId="4373323E"/>
    <w:sectPr>
      <w:headerReference r:id="rId5" w:type="default"/>
      <w:footerReference r:id="rId6" w:type="default"/>
      <w:pgSz w:w="12240" w:h="15840"/>
      <w:pgMar w:top="1417" w:right="1417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31375">
    <w:pPr>
      <w:pStyle w:val="24"/>
      <w:jc w:val="center"/>
    </w:pPr>
    <w:r>
      <w:rPr>
        <w:rFonts w:ascii="Times New Roman" w:hAnsi="Times New Roman" w:eastAsia="宋体"/>
        <w:sz w:val="18"/>
      </w:rPr>
      <w:t>软件著作权登记材料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C0A6D">
    <w:pPr>
      <w:pStyle w:val="25"/>
      <w:jc w:val="right"/>
    </w:pPr>
    <w:r>
      <w:rPr>
        <w:rFonts w:ascii="Times New Roman" w:hAnsi="Times New Roman" w:eastAsia="宋体"/>
        <w:sz w:val="18"/>
      </w:rPr>
      <w:t>基于多模态数据融合的水体浊度预测系统V1.0 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37A53"/>
    <w:rsid w:val="59D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3470</Words>
  <Characters>3615</Characters>
  <Lines>0</Lines>
  <Paragraphs>0</Paragraphs>
  <TotalTime>7</TotalTime>
  <ScaleCrop>false</ScaleCrop>
  <LinksUpToDate>false</LinksUpToDate>
  <CharactersWithSpaces>3678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陈鲲鹏</cp:lastModifiedBy>
  <dcterms:modified xsi:type="dcterms:W3CDTF">2026-07-02T13:38:24Z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8979A2E4CBA6409280F0E08B42E71BC6_13</vt:lpwstr>
  </property>
</Properties>
</file>