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1D5B7"/>
    <w:p w14:paraId="1B674B6C"/>
    <w:p w14:paraId="7C1B98B0"/>
    <w:p w14:paraId="01FF136B"/>
    <w:p w14:paraId="1509EDD8">
      <w:pPr>
        <w:jc w:val="center"/>
      </w:pPr>
      <w:r>
        <w:rPr>
          <w:rFonts w:ascii="Times New Roman" w:hAnsi="Times New Roman" w:eastAsia="黑体"/>
          <w:b/>
          <w:sz w:val="48"/>
        </w:rPr>
        <w:t>软件著作权登记材料</w:t>
      </w:r>
    </w:p>
    <w:p w14:paraId="2938D0E6">
      <w:pPr>
        <w:jc w:val="center"/>
      </w:pPr>
      <w:r>
        <w:rPr>
          <w:rFonts w:ascii="Times New Roman" w:hAnsi="Times New Roman" w:eastAsia="黑体"/>
          <w:b/>
          <w:sz w:val="40"/>
        </w:rPr>
        <w:t>基于多模态数据融合的水体浊度预测系统V1.0</w:t>
      </w:r>
    </w:p>
    <w:p w14:paraId="4991F5B3">
      <w:pPr>
        <w:jc w:val="center"/>
      </w:pPr>
      <w:r>
        <w:rPr>
          <w:rFonts w:ascii="Times New Roman" w:hAnsi="Times New Roman" w:eastAsia="宋体"/>
          <w:sz w:val="32"/>
        </w:rPr>
        <w:t>软件说明书 / 设计说明书</w:t>
      </w:r>
    </w:p>
    <w:p w14:paraId="2F5E84CE"/>
    <w:p w14:paraId="46B365ED"/>
    <w:p w14:paraId="285F0123"/>
    <w:p w14:paraId="0CC056C7"/>
    <w:p w14:paraId="675F1936"/>
    <w:p w14:paraId="45A6FF8F"/>
    <w:p w14:paraId="2A19061E"/>
    <w:p w14:paraId="07494EDC"/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8"/>
        <w:gridCol w:w="4618"/>
      </w:tblGrid>
      <w:tr w14:paraId="04D80C2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2A5BED4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软件名称</w:t>
            </w:r>
          </w:p>
        </w:tc>
        <w:tc>
          <w:tcPr>
            <w:tcW w:w="4618" w:type="dxa"/>
            <w:vAlign w:val="center"/>
          </w:tcPr>
          <w:p w14:paraId="3C464A36">
            <w:pPr>
              <w:spacing w:after="0" w:line="240" w:lineRule="auto"/>
              <w:jc w:val="left"/>
            </w:pPr>
            <w:r>
              <w:t>基于多源水质数据融合的水体透明度预测系统</w:t>
            </w:r>
          </w:p>
        </w:tc>
      </w:tr>
      <w:tr w14:paraId="781535A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7CBF22E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版本号</w:t>
            </w:r>
          </w:p>
        </w:tc>
        <w:tc>
          <w:tcPr>
            <w:tcW w:w="4618" w:type="dxa"/>
            <w:vAlign w:val="center"/>
          </w:tcPr>
          <w:p w14:paraId="2D7941B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V1.0</w:t>
            </w:r>
          </w:p>
        </w:tc>
      </w:tr>
      <w:tr w14:paraId="50AC36B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3397EED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文档类型</w:t>
            </w:r>
          </w:p>
        </w:tc>
        <w:tc>
          <w:tcPr>
            <w:tcW w:w="4618" w:type="dxa"/>
            <w:vAlign w:val="center"/>
          </w:tcPr>
          <w:p w14:paraId="3597DAD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软件著作权登记说明书</w:t>
            </w:r>
          </w:p>
        </w:tc>
      </w:tr>
      <w:tr w14:paraId="64C4A61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600979A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完成日期</w:t>
            </w:r>
          </w:p>
        </w:tc>
        <w:tc>
          <w:tcPr>
            <w:tcW w:w="4618" w:type="dxa"/>
            <w:vAlign w:val="center"/>
          </w:tcPr>
          <w:p w14:paraId="439CDCC7">
            <w:pPr>
              <w:spacing w:after="0" w:line="240" w:lineRule="auto"/>
              <w:jc w:val="left"/>
            </w:pPr>
            <w:r>
              <w:t>2026年7月</w:t>
            </w:r>
          </w:p>
        </w:tc>
      </w:tr>
    </w:tbl>
    <w:p w14:paraId="67BF0BBA"/>
    <w:p w14:paraId="16CE2D6F">
      <w:r>
        <w:br w:type="page"/>
      </w:r>
    </w:p>
    <w:p w14:paraId="548D5678">
      <w:pPr>
        <w:pStyle w:val="3"/>
        <w:spacing w:before="200" w:after="120"/>
      </w:pPr>
      <w:r>
        <w:t>目 录</w:t>
      </w:r>
    </w:p>
    <w:p w14:paraId="5CB15007">
      <w:pPr>
        <w:spacing w:after="20"/>
        <w:ind w:left="283"/>
      </w:pPr>
      <w:r>
        <w:rPr>
          <w:rFonts w:ascii="Times New Roman" w:hAnsi="Times New Roman" w:eastAsia="宋体"/>
          <w:sz w:val="21"/>
        </w:rPr>
        <w:t>1 软件概述</w:t>
      </w:r>
    </w:p>
    <w:p w14:paraId="2B013462">
      <w:pPr>
        <w:spacing w:after="20"/>
        <w:ind w:left="283"/>
      </w:pPr>
      <w:r>
        <w:rPr>
          <w:rFonts w:ascii="Times New Roman" w:hAnsi="Times New Roman" w:eastAsia="宋体"/>
          <w:sz w:val="21"/>
        </w:rPr>
        <w:t>1.1 软件名称及版本</w:t>
      </w:r>
    </w:p>
    <w:p w14:paraId="7AE82396">
      <w:pPr>
        <w:spacing w:after="20"/>
        <w:ind w:left="283"/>
      </w:pPr>
      <w:r>
        <w:rPr>
          <w:rFonts w:ascii="Times New Roman" w:hAnsi="Times New Roman" w:eastAsia="宋体"/>
          <w:sz w:val="21"/>
        </w:rPr>
        <w:t>1.2 开发背景</w:t>
      </w:r>
    </w:p>
    <w:p w14:paraId="0A577FD4">
      <w:pPr>
        <w:spacing w:after="20"/>
        <w:ind w:left="283"/>
      </w:pPr>
      <w:r>
        <w:rPr>
          <w:rFonts w:ascii="Times New Roman" w:hAnsi="Times New Roman" w:eastAsia="宋体"/>
          <w:sz w:val="21"/>
        </w:rPr>
        <w:t>1.3 建设目标</w:t>
      </w:r>
    </w:p>
    <w:p w14:paraId="7EDB6011">
      <w:pPr>
        <w:spacing w:after="20"/>
        <w:ind w:left="283"/>
      </w:pPr>
      <w:r>
        <w:rPr>
          <w:rFonts w:ascii="Times New Roman" w:hAnsi="Times New Roman" w:eastAsia="宋体"/>
          <w:sz w:val="21"/>
        </w:rPr>
        <w:t>1.4 适用对象</w:t>
      </w:r>
    </w:p>
    <w:p w14:paraId="081E6AB5">
      <w:pPr>
        <w:spacing w:after="20"/>
        <w:ind w:left="283"/>
      </w:pPr>
      <w:r>
        <w:rPr>
          <w:rFonts w:ascii="Times New Roman" w:hAnsi="Times New Roman" w:eastAsia="宋体"/>
          <w:sz w:val="21"/>
        </w:rPr>
        <w:t>2 系统总体设计</w:t>
      </w:r>
    </w:p>
    <w:p w14:paraId="52E0A432">
      <w:pPr>
        <w:spacing w:after="20"/>
        <w:ind w:left="283"/>
      </w:pPr>
      <w:r>
        <w:rPr>
          <w:rFonts w:ascii="Times New Roman" w:hAnsi="Times New Roman" w:eastAsia="宋体"/>
          <w:sz w:val="21"/>
        </w:rPr>
        <w:t>2.1 总体架构</w:t>
      </w:r>
    </w:p>
    <w:p w14:paraId="41CCF95A">
      <w:pPr>
        <w:spacing w:after="20"/>
        <w:ind w:left="283"/>
      </w:pPr>
      <w:r>
        <w:rPr>
          <w:rFonts w:ascii="Times New Roman" w:hAnsi="Times New Roman" w:eastAsia="宋体"/>
          <w:sz w:val="21"/>
        </w:rPr>
        <w:t>2.2 技术路线</w:t>
      </w:r>
    </w:p>
    <w:p w14:paraId="1C788900">
      <w:pPr>
        <w:spacing w:after="20"/>
        <w:ind w:left="283"/>
      </w:pPr>
      <w:r>
        <w:rPr>
          <w:rFonts w:ascii="Times New Roman" w:hAnsi="Times New Roman" w:eastAsia="宋体"/>
          <w:sz w:val="21"/>
        </w:rPr>
        <w:t>2.3 系统部署结构</w:t>
      </w:r>
    </w:p>
    <w:p w14:paraId="60B114DC">
      <w:pPr>
        <w:spacing w:after="20"/>
        <w:ind w:left="283"/>
      </w:pPr>
      <w:r>
        <w:rPr>
          <w:rFonts w:ascii="Times New Roman" w:hAnsi="Times New Roman" w:eastAsia="宋体"/>
          <w:sz w:val="21"/>
        </w:rPr>
        <w:t>3 功能模块设计</w:t>
      </w:r>
    </w:p>
    <w:p w14:paraId="093D776E">
      <w:pPr>
        <w:spacing w:after="20"/>
        <w:ind w:left="283"/>
      </w:pPr>
      <w:r>
        <w:rPr>
          <w:rFonts w:ascii="Times New Roman" w:hAnsi="Times New Roman" w:eastAsia="宋体"/>
          <w:sz w:val="21"/>
        </w:rPr>
        <w:t>3.1 多源异构水质数据融合与管理模块</w:t>
      </w:r>
    </w:p>
    <w:p w14:paraId="3CBB0528">
      <w:pPr>
        <w:spacing w:after="20"/>
        <w:ind w:left="283"/>
      </w:pPr>
      <w:r>
        <w:rPr>
          <w:rFonts w:ascii="Times New Roman" w:hAnsi="Times New Roman" w:eastAsia="宋体"/>
          <w:sz w:val="21"/>
        </w:rPr>
        <w:t>3.2 水质多维数据可视化与交互模块</w:t>
      </w:r>
    </w:p>
    <w:p w14:paraId="6BFEEFEC">
      <w:pPr>
        <w:spacing w:after="20"/>
        <w:ind w:left="283"/>
      </w:pPr>
      <w:r>
        <w:rPr>
          <w:rFonts w:ascii="Times New Roman" w:hAnsi="Times New Roman" w:eastAsia="宋体"/>
          <w:sz w:val="21"/>
        </w:rPr>
        <w:t>3.3 水体浊度动态预测与模拟模块</w:t>
      </w:r>
    </w:p>
    <w:p w14:paraId="204B7707">
      <w:pPr>
        <w:spacing w:after="20"/>
        <w:ind w:left="283"/>
      </w:pPr>
      <w:r>
        <w:rPr>
          <w:rFonts w:ascii="Times New Roman" w:hAnsi="Times New Roman" w:eastAsia="宋体"/>
          <w:sz w:val="21"/>
        </w:rPr>
        <w:t>3.4 致浊因子因果诊断与归因分析模块</w:t>
      </w:r>
    </w:p>
    <w:p w14:paraId="5B61939E">
      <w:pPr>
        <w:spacing w:after="20"/>
        <w:ind w:left="283"/>
      </w:pPr>
      <w:r>
        <w:rPr>
          <w:rFonts w:ascii="Times New Roman" w:hAnsi="Times New Roman" w:eastAsia="宋体"/>
          <w:sz w:val="21"/>
        </w:rPr>
        <w:t>4 数据库与数据处理设计</w:t>
      </w:r>
    </w:p>
    <w:p w14:paraId="5F41F202">
      <w:pPr>
        <w:spacing w:after="20"/>
        <w:ind w:left="283"/>
      </w:pPr>
      <w:r>
        <w:rPr>
          <w:rFonts w:ascii="Times New Roman" w:hAnsi="Times New Roman" w:eastAsia="宋体"/>
          <w:sz w:val="21"/>
        </w:rPr>
        <w:t>4.1 数据类型与字段范围</w:t>
      </w:r>
    </w:p>
    <w:p w14:paraId="7610F191">
      <w:pPr>
        <w:spacing w:after="20"/>
        <w:ind w:left="283"/>
      </w:pPr>
      <w:r>
        <w:rPr>
          <w:rFonts w:ascii="Times New Roman" w:hAnsi="Times New Roman" w:eastAsia="宋体"/>
          <w:sz w:val="21"/>
        </w:rPr>
        <w:t>4.2 数据接入与清洗规则</w:t>
      </w:r>
    </w:p>
    <w:p w14:paraId="01D06066">
      <w:pPr>
        <w:spacing w:after="20"/>
        <w:ind w:left="283"/>
      </w:pPr>
      <w:r>
        <w:rPr>
          <w:rFonts w:ascii="Times New Roman" w:hAnsi="Times New Roman" w:eastAsia="宋体"/>
          <w:sz w:val="21"/>
        </w:rPr>
        <w:t>4.3 标准化存储方案</w:t>
      </w:r>
    </w:p>
    <w:p w14:paraId="288FF6DC">
      <w:pPr>
        <w:spacing w:after="20"/>
        <w:ind w:left="283"/>
      </w:pPr>
      <w:r>
        <w:rPr>
          <w:rFonts w:ascii="Times New Roman" w:hAnsi="Times New Roman" w:eastAsia="宋体"/>
          <w:sz w:val="21"/>
        </w:rPr>
        <w:t>5 算法模型设计</w:t>
      </w:r>
    </w:p>
    <w:p w14:paraId="350B82EC">
      <w:pPr>
        <w:spacing w:after="20"/>
        <w:ind w:left="283"/>
      </w:pPr>
      <w:r>
        <w:rPr>
          <w:rFonts w:ascii="Times New Roman" w:hAnsi="Times New Roman" w:eastAsia="宋体"/>
          <w:sz w:val="21"/>
        </w:rPr>
        <w:t>5.1 MSCIM浊度预测模型流程</w:t>
      </w:r>
    </w:p>
    <w:p w14:paraId="69068678">
      <w:pPr>
        <w:spacing w:after="20"/>
        <w:ind w:left="283"/>
      </w:pPr>
      <w:r>
        <w:rPr>
          <w:rFonts w:ascii="Times New Roman" w:hAnsi="Times New Roman" w:eastAsia="宋体"/>
          <w:sz w:val="21"/>
        </w:rPr>
        <w:t>5.2 模型训练与预测流程</w:t>
      </w:r>
    </w:p>
    <w:p w14:paraId="0E90D8B4">
      <w:pPr>
        <w:spacing w:after="20"/>
        <w:ind w:left="283"/>
      </w:pPr>
      <w:r>
        <w:rPr>
          <w:rFonts w:ascii="Times New Roman" w:hAnsi="Times New Roman" w:eastAsia="宋体"/>
          <w:sz w:val="21"/>
        </w:rPr>
        <w:t>5.3 预测结果评估</w:t>
      </w:r>
    </w:p>
    <w:p w14:paraId="694F9D00">
      <w:pPr>
        <w:spacing w:after="20"/>
        <w:ind w:left="283"/>
      </w:pPr>
      <w:r>
        <w:rPr>
          <w:rFonts w:ascii="Times New Roman" w:hAnsi="Times New Roman" w:eastAsia="宋体"/>
          <w:sz w:val="21"/>
        </w:rPr>
        <w:t>6 软件操作说明</w:t>
      </w:r>
    </w:p>
    <w:p w14:paraId="61218DB3">
      <w:pPr>
        <w:spacing w:after="20"/>
        <w:ind w:left="283"/>
      </w:pPr>
      <w:r>
        <w:rPr>
          <w:rFonts w:ascii="Times New Roman" w:hAnsi="Times New Roman" w:eastAsia="宋体"/>
          <w:sz w:val="21"/>
        </w:rPr>
        <w:t>6.1 用户登录与权限管理</w:t>
      </w:r>
    </w:p>
    <w:p w14:paraId="540C9224">
      <w:pPr>
        <w:spacing w:after="20"/>
        <w:ind w:left="283"/>
      </w:pPr>
      <w:r>
        <w:rPr>
          <w:rFonts w:ascii="Times New Roman" w:hAnsi="Times New Roman" w:eastAsia="宋体"/>
          <w:sz w:val="21"/>
        </w:rPr>
        <w:t>6.2 数据管理操作</w:t>
      </w:r>
    </w:p>
    <w:p w14:paraId="7D638BC5">
      <w:pPr>
        <w:spacing w:after="20"/>
        <w:ind w:left="283"/>
      </w:pPr>
      <w:r>
        <w:rPr>
          <w:rFonts w:ascii="Times New Roman" w:hAnsi="Times New Roman" w:eastAsia="宋体"/>
          <w:sz w:val="21"/>
        </w:rPr>
        <w:t>6.3 可视化查询操作</w:t>
      </w:r>
    </w:p>
    <w:p w14:paraId="1FFBF3DA">
      <w:pPr>
        <w:spacing w:after="20"/>
        <w:ind w:left="283"/>
      </w:pPr>
      <w:r>
        <w:rPr>
          <w:rFonts w:ascii="Times New Roman" w:hAnsi="Times New Roman" w:eastAsia="宋体"/>
          <w:sz w:val="21"/>
        </w:rPr>
        <w:t>6.4 浊度预测操作</w:t>
      </w:r>
    </w:p>
    <w:p w14:paraId="7BB66AA5">
      <w:pPr>
        <w:spacing w:after="20"/>
        <w:ind w:left="283"/>
      </w:pPr>
      <w:r>
        <w:rPr>
          <w:rFonts w:ascii="Times New Roman" w:hAnsi="Times New Roman" w:eastAsia="宋体"/>
          <w:sz w:val="21"/>
        </w:rPr>
        <w:t>6.5 诊断报告输出</w:t>
      </w:r>
    </w:p>
    <w:p w14:paraId="182D4EC7">
      <w:pPr>
        <w:spacing w:after="20"/>
        <w:ind w:left="283"/>
      </w:pPr>
      <w:r>
        <w:rPr>
          <w:rFonts w:ascii="Times New Roman" w:hAnsi="Times New Roman" w:eastAsia="宋体"/>
          <w:sz w:val="21"/>
        </w:rPr>
        <w:t>7 系统安全与异常处理</w:t>
      </w:r>
    </w:p>
    <w:p w14:paraId="3C4C8E9D">
      <w:pPr>
        <w:spacing w:after="20"/>
        <w:ind w:left="283"/>
      </w:pPr>
      <w:r>
        <w:rPr>
          <w:rFonts w:ascii="Times New Roman" w:hAnsi="Times New Roman" w:eastAsia="宋体"/>
          <w:sz w:val="21"/>
        </w:rPr>
        <w:t>8 软件特点与应用价值</w:t>
      </w:r>
    </w:p>
    <w:p w14:paraId="0B66A5D3">
      <w:pPr>
        <w:spacing w:after="20"/>
        <w:ind w:left="283"/>
      </w:pPr>
      <w:r>
        <w:rPr>
          <w:rFonts w:ascii="Times New Roman" w:hAnsi="Times New Roman" w:eastAsia="宋体"/>
          <w:sz w:val="21"/>
        </w:rPr>
        <w:t>9 软著登记信息建议</w:t>
      </w:r>
    </w:p>
    <w:p w14:paraId="48521BCF">
      <w:pPr>
        <w:spacing w:after="20"/>
        <w:ind w:left="567"/>
      </w:pPr>
      <w:r>
        <w:rPr>
          <w:rFonts w:ascii="Times New Roman" w:hAnsi="Times New Roman" w:eastAsia="宋体"/>
          <w:sz w:val="21"/>
        </w:rPr>
        <w:t>附录A 软件主要界面说明</w:t>
      </w:r>
    </w:p>
    <w:p w14:paraId="33B8F953">
      <w:pPr>
        <w:spacing w:after="20"/>
        <w:ind w:left="567"/>
      </w:pPr>
      <w:r>
        <w:rPr>
          <w:rFonts w:ascii="Times New Roman" w:hAnsi="Times New Roman" w:eastAsia="宋体"/>
          <w:sz w:val="21"/>
        </w:rPr>
        <w:t>附录B 源程序目录结构建议</w:t>
      </w:r>
    </w:p>
    <w:p w14:paraId="0114D34E">
      <w:pPr>
        <w:spacing w:after="20"/>
        <w:ind w:left="567"/>
      </w:pPr>
      <w:r>
        <w:rPr>
          <w:rFonts w:ascii="Times New Roman" w:hAnsi="Times New Roman" w:eastAsia="宋体"/>
          <w:sz w:val="21"/>
        </w:rPr>
        <w:t>附录C 版本更新记录</w:t>
      </w:r>
    </w:p>
    <w:p w14:paraId="2BB57354">
      <w:r>
        <w:br w:type="page"/>
      </w:r>
    </w:p>
    <w:p w14:paraId="1DFDD68A">
      <w:pPr>
        <w:pStyle w:val="3"/>
        <w:spacing w:before="200" w:after="120"/>
      </w:pPr>
      <w:r>
        <w:t>1 软件概述</w:t>
      </w:r>
    </w:p>
    <w:p w14:paraId="7C11123F">
      <w:pPr>
        <w:pStyle w:val="4"/>
        <w:spacing w:before="120" w:after="120"/>
      </w:pPr>
      <w:r>
        <w:t>1.1 软件名称及版本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8"/>
        <w:gridCol w:w="4618"/>
      </w:tblGrid>
      <w:tr w14:paraId="2FF7EB8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342D5DD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软件全称</w:t>
            </w:r>
          </w:p>
        </w:tc>
        <w:tc>
          <w:tcPr>
            <w:tcW w:w="4618" w:type="dxa"/>
            <w:vAlign w:val="center"/>
          </w:tcPr>
          <w:p w14:paraId="55EA87CB">
            <w:pPr>
              <w:spacing w:after="0" w:line="240" w:lineRule="auto"/>
              <w:jc w:val="left"/>
            </w:pPr>
            <w:r>
              <w:t>基于多源水质数据融合的水体透明度预测系统</w:t>
            </w:r>
          </w:p>
        </w:tc>
      </w:tr>
      <w:tr w14:paraId="2CA15FB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19E155F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软件简称</w:t>
            </w:r>
          </w:p>
        </w:tc>
        <w:tc>
          <w:tcPr>
            <w:tcW w:w="4618" w:type="dxa"/>
            <w:vAlign w:val="center"/>
          </w:tcPr>
          <w:p w14:paraId="2FB198EF">
            <w:pPr>
              <w:spacing w:after="0" w:line="240" w:lineRule="auto"/>
              <w:jc w:val="left"/>
            </w:pPr>
            <w:r>
              <w:t>水体透明度预测系统</w:t>
            </w:r>
          </w:p>
        </w:tc>
      </w:tr>
      <w:tr w14:paraId="545F5FA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1C70F14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版本号</w:t>
            </w:r>
          </w:p>
        </w:tc>
        <w:tc>
          <w:tcPr>
            <w:tcW w:w="4618" w:type="dxa"/>
            <w:vAlign w:val="center"/>
          </w:tcPr>
          <w:p w14:paraId="20F3AFE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V1.0</w:t>
            </w:r>
          </w:p>
        </w:tc>
      </w:tr>
      <w:tr w14:paraId="61F4578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4E62722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软件类型</w:t>
            </w:r>
          </w:p>
        </w:tc>
        <w:tc>
          <w:tcPr>
            <w:tcW w:w="4618" w:type="dxa"/>
            <w:vAlign w:val="center"/>
          </w:tcPr>
          <w:p w14:paraId="37D3CCED">
            <w:pPr>
              <w:spacing w:after="0" w:line="240" w:lineRule="auto"/>
              <w:jc w:val="left"/>
            </w:pPr>
            <w:r>
              <w:t>数据处理、智能预测与水环境辅助分析类软件</w:t>
            </w:r>
          </w:p>
        </w:tc>
      </w:tr>
      <w:tr w14:paraId="1420567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28B8044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运行模式</w:t>
            </w:r>
          </w:p>
        </w:tc>
        <w:tc>
          <w:tcPr>
            <w:tcW w:w="4618" w:type="dxa"/>
            <w:vAlign w:val="center"/>
          </w:tcPr>
          <w:p w14:paraId="5FA9890F">
            <w:pPr>
              <w:spacing w:after="0" w:line="240" w:lineRule="auto"/>
              <w:jc w:val="left"/>
            </w:pPr>
            <w:r>
              <w:t>B/S架构为主，支持服务端集中部署与浏览器端访问；同时提供命令行流水线供批量处理</w:t>
            </w:r>
          </w:p>
        </w:tc>
      </w:tr>
    </w:tbl>
    <w:p w14:paraId="6F4F2FD2"/>
    <w:p w14:paraId="5E9E9363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本软件面向河口、湖泊、河道及近岸水域的浊度监测、预测和成因分析需求，围绕多源异构水质数据接入、数据治理、预测建模、可视化分析和致浊因子归因诊断建立一体化软件系统。软件以水质监测数据为基础，融合气象、水文、水利调度、空间站点等多模态信息，通过MSCIM浊度预测模型对目标水域未来或指定时段的浊度变化进行动态模拟，并以图表、地图、报告等形式输出分析结果。</w:t>
      </w:r>
    </w:p>
    <w:p w14:paraId="3EBEEEB4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本版本为V1.0，重点实现数据接入管理、综合数据库构建、浊度预测模拟、实测—预测对比、时序趋势展示、站点空间分布展示、致浊因子识别和归因报告输出等功能。</w:t>
      </w:r>
    </w:p>
    <w:p w14:paraId="18B0548E">
      <w:pPr>
        <w:pStyle w:val="4"/>
        <w:spacing w:before="120" w:after="120"/>
      </w:pPr>
      <w:r>
        <w:t>1.2 开发背景</w:t>
      </w:r>
    </w:p>
    <w:p w14:paraId="21DBD6C7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水体浊度受悬浮泥沙、降雨径流、潮汐水动力、风速风向、上游来水、工程调度和季节性气象条件等因素共同影响，单一水质指标难以完整解释浊度波动过程。传统监测系统通常偏重数据展示，缺少对多源信息的统一管理、关联分析和预测模拟能力，导致管理人员只能看到“浊度发生变化”，但难以及时判断“为何变化、变化趋势如何、主要影响因子是什么”。</w:t>
      </w:r>
    </w:p>
    <w:p w14:paraId="454FD660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本软件针对上述问题，采用多模态数据融合思路，将水质、气象、水文、水利和空间站点数据纳入统一数据底座，在算法层引入MSCIM浊度预测模型，并结合因果推断与知识图谱方法对致浊过程进行辅助解释，从而实现由数据汇聚向预测预警、机制解释和辅助决策的延伸。</w:t>
      </w:r>
    </w:p>
    <w:p w14:paraId="62A8A737">
      <w:pPr>
        <w:pStyle w:val="4"/>
        <w:spacing w:before="120" w:after="120"/>
      </w:pPr>
      <w:r>
        <w:t>1.3 建设目标</w:t>
      </w:r>
    </w:p>
    <w:p w14:paraId="299C0FA7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建立多源异构水环境数据接入和标准化管理能力，形成可持续更新的多模态水质综合数据库。</w:t>
      </w:r>
    </w:p>
    <w:p w14:paraId="30B49D23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构建面向水体浊度的动态预测模型，实现目标区域浊度预测值与实测值的对比分析。</w:t>
      </w:r>
    </w:p>
    <w:p w14:paraId="3C7B7CF9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提供面向业务人员的可视化看板、交互查询、时间序列趋势分析和站点空间分布展示功能。</w:t>
      </w:r>
    </w:p>
    <w:p w14:paraId="2DAE8E05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结合因果推断与知识图谱技术，输出致浊因子诊断结果，辅助解释水体浑浊形成机制。</w:t>
      </w:r>
    </w:p>
    <w:p w14:paraId="78995A50">
      <w:pPr>
        <w:pStyle w:val="4"/>
        <w:spacing w:before="120" w:after="120"/>
      </w:pPr>
      <w:r>
        <w:t>1.4 适用对象</w:t>
      </w:r>
    </w:p>
    <w:p w14:paraId="58FDF153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本软件适用于水环境监测机构、科研院所、生态环境管理部门、水利调度单位及从事水质预测、水动力分析、河口浊度变化研究的技术人员。用户可通过浏览器登录系统，完成数据导入、数据检索、图表查看、模型预测、结果对比和诊断报告下载等操作。</w:t>
      </w:r>
    </w:p>
    <w:p w14:paraId="5F6C726D">
      <w:pPr>
        <w:pStyle w:val="3"/>
        <w:spacing w:before="200" w:after="120"/>
      </w:pPr>
      <w:r>
        <w:t>2 系统总体设计</w:t>
      </w:r>
    </w:p>
    <w:p w14:paraId="11441897">
      <w:pPr>
        <w:pStyle w:val="4"/>
        <w:spacing w:before="120" w:after="120"/>
      </w:pPr>
      <w:r>
        <w:t>2.1 总体架构</w:t>
      </w:r>
    </w:p>
    <w:p w14:paraId="6BDA96F1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系统采用“数据层—算法层—应用层”的三层架构。数据层负责多源异构数据接入、清洗、标准化处理和统一存储；算法层负责特征构建、MSCIM浊度预测、因果诊断和知识图谱关联推理；应用层负责可视化看板、交互查询、预测对比和报告输出。整体运行逻辑为：多源数据采集 → 数据清洗与标准化 → 多模态特征融合 → 模型预测与因果归因 → 可视化展示与报告输出。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1EB2748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0A236F5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层级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64D623B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组成内容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2C221BD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主要功能</w:t>
            </w:r>
          </w:p>
        </w:tc>
      </w:tr>
      <w:tr w14:paraId="5D7545E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117E63E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数据层</w:t>
            </w:r>
          </w:p>
        </w:tc>
        <w:tc>
          <w:tcPr>
            <w:tcW w:w="3079" w:type="dxa"/>
            <w:vAlign w:val="center"/>
          </w:tcPr>
          <w:p w14:paraId="664311F4">
            <w:pPr>
              <w:spacing w:after="0" w:line="240" w:lineRule="auto"/>
              <w:jc w:val="left"/>
            </w:pPr>
            <w:r>
              <w:t>水质数据、气象数据、水文数据、空间站点数据;</w:t>
              <w:br/>
              <w:t>SQLite状态存储 + 文件系统产物存储</w:t>
            </w:r>
          </w:p>
        </w:tc>
        <w:tc>
          <w:tcPr>
            <w:tcW w:w="3079" w:type="dxa"/>
            <w:vAlign w:val="center"/>
          </w:tcPr>
          <w:p w14:paraId="0FA2FC0C">
            <w:pPr>
              <w:spacing w:after="0" w:line="240" w:lineRule="auto"/>
              <w:jc w:val="left"/>
            </w:pPr>
            <w:r>
              <w:t>完成多源数据接入、清洗、标准化处理、入库存储和历史记录管理；支持CSV/Excel/JSON文件上传与字段映射</w:t>
            </w:r>
          </w:p>
        </w:tc>
      </w:tr>
      <w:tr w14:paraId="0FB3FB8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2DB6E4C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算法层</w:t>
            </w:r>
          </w:p>
        </w:tc>
        <w:tc>
          <w:tcPr>
            <w:tcW w:w="3079" w:type="dxa"/>
            <w:vAlign w:val="center"/>
          </w:tcPr>
          <w:p w14:paraId="51C321B2">
            <w:pPr>
              <w:spacing w:after="0" w:line="240" w:lineRule="auto"/>
              <w:jc w:val="left"/>
            </w:pPr>
            <w:r>
              <w:t>MSCIM预测模型、MSCIM-NoKG消融模型、CMFBE-ST-GCN机制模型;</w:t>
              <w:br/>
              <w:t>Sobol灵敏度分析、场景分诊、边界检测</w:t>
            </w:r>
          </w:p>
        </w:tc>
        <w:tc>
          <w:tcPr>
            <w:tcW w:w="3079" w:type="dxa"/>
            <w:vAlign w:val="center"/>
          </w:tcPr>
          <w:p w14:paraId="55D158B2">
            <w:pPr>
              <w:spacing w:after="0" w:line="240" w:lineRule="auto"/>
              <w:jc w:val="left"/>
            </w:pPr>
            <w:r>
              <w:t>完成多模态特征融合、浊度与透明度预测、预测误差分析、致浊因子识别、场景分类与归因解释</w:t>
            </w:r>
          </w:p>
        </w:tc>
      </w:tr>
      <w:tr w14:paraId="797ACBE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13F03D2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应用层</w:t>
            </w:r>
          </w:p>
        </w:tc>
        <w:tc>
          <w:tcPr>
            <w:tcW w:w="3079" w:type="dxa"/>
            <w:vAlign w:val="center"/>
          </w:tcPr>
          <w:p w14:paraId="2C8E69DC">
            <w:pPr>
              <w:spacing w:after="0" w:line="240" w:lineRule="auto"/>
              <w:jc w:val="left"/>
            </w:pPr>
            <w:r>
              <w:t>Web前端(HTML/CSS/JS)、FastAPI后端、</w:t>
              <w:br/>
              <w:t>报告生成服务、任务调度服务</w:t>
            </w:r>
          </w:p>
        </w:tc>
        <w:tc>
          <w:tcPr>
            <w:tcW w:w="3079" w:type="dxa"/>
            <w:vAlign w:val="center"/>
          </w:tcPr>
          <w:p w14:paraId="5F906B9F">
            <w:pPr>
              <w:spacing w:after="0" w:line="240" w:lineRule="auto"/>
              <w:jc w:val="left"/>
            </w:pPr>
            <w:r>
              <w:t>完成用户登录、数据查询、趋势展示、预测任务配置、预测-实测对比、场景分诊展示和报告导出</w:t>
            </w:r>
          </w:p>
        </w:tc>
      </w:tr>
    </w:tbl>
    <w:p w14:paraId="17E5DE9C"/>
    <w:p w14:paraId="7A6E32C5">
      <w:pPr>
        <w:pStyle w:val="4"/>
        <w:spacing w:before="120" w:after="120"/>
      </w:pPr>
      <w:r>
        <w:t>2.2 技术路线</w:t>
      </w:r>
    </w:p>
    <w:p w14:paraId="4CB4830A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软件技术路线以“数据治理—特征融合—预测模拟—因果解释”为主线。系统首先接入不同来源、不同频率、不同格式的数据，然后通过时间对齐、空间匹配、单位换算和异常检测形成统一数据表；随后将水质、气象、水文和水利因子组合成多模态特征输入MSCIM模型；模型输出指定区域与指定时间范围内的浊度预测结果；最后系统将预测结果与实测数据进行对比，并利用因果推断和知识图谱输出主要致浊因子及解释性诊断结果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9"/>
        <w:gridCol w:w="2309"/>
        <w:gridCol w:w="2309"/>
        <w:gridCol w:w="2309"/>
      </w:tblGrid>
      <w:tr w14:paraId="7253138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9" w:type="dxa"/>
            <w:shd w:val="clear" w:color="auto" w:fill="D9EAF7"/>
            <w:vAlign w:val="center"/>
          </w:tcPr>
          <w:p w14:paraId="290630A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w="2309" w:type="dxa"/>
            <w:shd w:val="clear" w:color="auto" w:fill="D9EAF7"/>
            <w:vAlign w:val="center"/>
          </w:tcPr>
          <w:p w14:paraId="22240A3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输入</w:t>
            </w:r>
          </w:p>
        </w:tc>
        <w:tc>
          <w:tcPr>
            <w:tcW w:w="2309" w:type="dxa"/>
            <w:shd w:val="clear" w:color="auto" w:fill="D9EAF7"/>
            <w:vAlign w:val="center"/>
          </w:tcPr>
          <w:p w14:paraId="74142AC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w="2309" w:type="dxa"/>
            <w:shd w:val="clear" w:color="auto" w:fill="D9EAF7"/>
            <w:vAlign w:val="center"/>
          </w:tcPr>
          <w:p w14:paraId="66C380F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输出</w:t>
            </w:r>
          </w:p>
        </w:tc>
      </w:tr>
      <w:tr w14:paraId="001F437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9" w:type="dxa"/>
            <w:vAlign w:val="center"/>
          </w:tcPr>
          <w:p w14:paraId="0A74A609">
            <w:pPr>
              <w:spacing w:after="0" w:line="240" w:lineRule="auto"/>
              <w:jc w:val="left"/>
            </w:pPr>
            <w:r>
              <w:t>1 数据接入</w:t>
            </w:r>
          </w:p>
        </w:tc>
        <w:tc>
          <w:tcPr>
            <w:tcW w:w="2309" w:type="dxa"/>
            <w:vAlign w:val="center"/>
          </w:tcPr>
          <w:p w14:paraId="7248CCFF">
            <w:pPr>
              <w:spacing w:after="0" w:line="240" w:lineRule="auto"/>
              <w:jc w:val="left"/>
            </w:pPr>
            <w:r>
              <w:t>监测站点数据(吴淞口2586等)、气象数据(宝山站)、水文数据(松浦大桥、黄渡)</w:t>
            </w:r>
          </w:p>
        </w:tc>
        <w:tc>
          <w:tcPr>
            <w:tcW w:w="2309" w:type="dxa"/>
            <w:vAlign w:val="center"/>
          </w:tcPr>
          <w:p w14:paraId="53A7F5D5">
            <w:pPr>
              <w:spacing w:after="0" w:line="240" w:lineRule="auto"/>
              <w:jc w:val="left"/>
            </w:pPr>
            <w:r>
              <w:t>文件导入(CSV/Excel/JSON)、字段映射、格式校验</w:t>
            </w:r>
          </w:p>
        </w:tc>
        <w:tc>
          <w:tcPr>
            <w:tcW w:w="2309" w:type="dxa"/>
            <w:vAlign w:val="center"/>
          </w:tcPr>
          <w:p w14:paraId="12023831">
            <w:pPr>
              <w:spacing w:after="0" w:line="240" w:lineRule="auto"/>
              <w:jc w:val="left"/>
            </w:pPr>
            <w:r>
              <w:t>原始数据记录表</w:t>
            </w:r>
          </w:p>
        </w:tc>
      </w:tr>
      <w:tr w14:paraId="6BC0AE6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9" w:type="dxa"/>
            <w:vAlign w:val="center"/>
          </w:tcPr>
          <w:p w14:paraId="0A113F6A">
            <w:pPr>
              <w:spacing w:after="0" w:line="240" w:lineRule="auto"/>
              <w:jc w:val="left"/>
            </w:pPr>
            <w:r>
              <w:t>2 数据治理</w:t>
            </w:r>
          </w:p>
        </w:tc>
        <w:tc>
          <w:tcPr>
            <w:tcW w:w="2309" w:type="dxa"/>
            <w:vAlign w:val="center"/>
          </w:tcPr>
          <w:p w14:paraId="03F9F54D">
            <w:pPr>
              <w:spacing w:after="0" w:line="240" w:lineRule="auto"/>
              <w:jc w:val="left"/>
            </w:pPr>
            <w:r>
              <w:t>原始数据记录</w:t>
            </w:r>
          </w:p>
        </w:tc>
        <w:tc>
          <w:tcPr>
            <w:tcW w:w="2309" w:type="dxa"/>
            <w:vAlign w:val="center"/>
          </w:tcPr>
          <w:p w14:paraId="4F578D4D">
            <w:pPr>
              <w:spacing w:after="0" w:line="240" w:lineRule="auto"/>
              <w:jc w:val="left"/>
            </w:pPr>
            <w:r>
              <w:t>去重、缺失值处理(插值/前向填充/删除)、异常值识别、时间空间对齐</w:t>
            </w:r>
          </w:p>
        </w:tc>
        <w:tc>
          <w:tcPr>
            <w:tcW w:w="2309" w:type="dxa"/>
            <w:vAlign w:val="center"/>
          </w:tcPr>
          <w:p w14:paraId="49A27FE2">
            <w:pPr>
              <w:spacing w:after="0" w:line="240" w:lineRule="auto"/>
              <w:jc w:val="left"/>
            </w:pPr>
            <w:r>
              <w:t>标准化多模态数据集(891天训练ready记录)</w:t>
            </w:r>
          </w:p>
        </w:tc>
      </w:tr>
      <w:tr w14:paraId="25F4884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9" w:type="dxa"/>
            <w:vAlign w:val="center"/>
          </w:tcPr>
          <w:p w14:paraId="1133764B">
            <w:pPr>
              <w:spacing w:after="0" w:line="240" w:lineRule="auto"/>
              <w:jc w:val="left"/>
            </w:pPr>
            <w:r>
              <w:t>3 特征融合</w:t>
            </w:r>
          </w:p>
        </w:tc>
        <w:tc>
          <w:tcPr>
            <w:tcW w:w="2309" w:type="dxa"/>
            <w:vAlign w:val="center"/>
          </w:tcPr>
          <w:p w14:paraId="1144D6FC">
            <w:pPr>
              <w:spacing w:after="0" w:line="240" w:lineRule="auto"/>
              <w:jc w:val="left"/>
            </w:pPr>
            <w:r>
              <w:t>标准化水质、水文、气象数据</w:t>
            </w:r>
          </w:p>
        </w:tc>
        <w:tc>
          <w:tcPr>
            <w:tcW w:w="2309" w:type="dxa"/>
            <w:vAlign w:val="center"/>
          </w:tcPr>
          <w:p w14:paraId="39CD54B7">
            <w:pPr>
              <w:spacing w:after="0" w:line="240" w:lineRule="auto"/>
              <w:jc w:val="left"/>
            </w:pPr>
            <w:r>
              <w:t>构造时序特征、滞后特征、滑动窗口统计量；融入知识图谱先验</w:t>
            </w:r>
          </w:p>
        </w:tc>
        <w:tc>
          <w:tcPr>
            <w:tcW w:w="2309" w:type="dxa"/>
            <w:vAlign w:val="center"/>
          </w:tcPr>
          <w:p w14:paraId="3109AEA2">
            <w:pPr>
              <w:spacing w:after="0" w:line="240" w:lineRule="auto"/>
              <w:jc w:val="left"/>
            </w:pPr>
            <w:r>
              <w:t>多模态特征矩阵</w:t>
            </w:r>
          </w:p>
        </w:tc>
      </w:tr>
      <w:tr w14:paraId="7CA1493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9" w:type="dxa"/>
            <w:vAlign w:val="center"/>
          </w:tcPr>
          <w:p w14:paraId="4EB6F398">
            <w:pPr>
              <w:spacing w:after="0" w:line="240" w:lineRule="auto"/>
              <w:jc w:val="left"/>
            </w:pPr>
            <w:r>
              <w:t>4 模型预测</w:t>
            </w:r>
          </w:p>
        </w:tc>
        <w:tc>
          <w:tcPr>
            <w:tcW w:w="2309" w:type="dxa"/>
            <w:vAlign w:val="center"/>
          </w:tcPr>
          <w:p w14:paraId="69EC7717">
            <w:pPr>
              <w:spacing w:after="0" w:line="240" w:lineRule="auto"/>
              <w:jc w:val="left"/>
            </w:pPr>
            <w:r>
              <w:t>多模态特征矩阵</w:t>
            </w:r>
          </w:p>
        </w:tc>
        <w:tc>
          <w:tcPr>
            <w:tcW w:w="2309" w:type="dxa"/>
            <w:vAlign w:val="center"/>
          </w:tcPr>
          <w:p w14:paraId="0B94EA0D">
            <w:pPr>
              <w:spacing w:after="0" w:line="240" w:lineRule="auto"/>
              <w:jc w:val="left"/>
            </w:pPr>
            <w:r>
              <w:t>MSCIM / CMFBE-ST-GCN模型推理与预测</w:t>
            </w:r>
          </w:p>
        </w:tc>
        <w:tc>
          <w:tcPr>
            <w:tcW w:w="2309" w:type="dxa"/>
            <w:vAlign w:val="center"/>
          </w:tcPr>
          <w:p w14:paraId="7B038E6D">
            <w:pPr>
              <w:spacing w:after="0" w:line="240" w:lineRule="auto"/>
              <w:jc w:val="left"/>
            </w:pPr>
            <w:r>
              <w:t>浊度预测序列、透明度预测序列</w:t>
            </w:r>
          </w:p>
        </w:tc>
      </w:tr>
      <w:tr w14:paraId="0B5ADC0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9" w:type="dxa"/>
            <w:vAlign w:val="center"/>
          </w:tcPr>
          <w:p w14:paraId="406E5BDD">
            <w:pPr>
              <w:spacing w:after="0" w:line="240" w:lineRule="auto"/>
              <w:jc w:val="left"/>
            </w:pPr>
            <w:r>
              <w:t>5 归因诊断</w:t>
            </w:r>
          </w:p>
        </w:tc>
        <w:tc>
          <w:tcPr>
            <w:tcW w:w="2309" w:type="dxa"/>
            <w:vAlign w:val="center"/>
          </w:tcPr>
          <w:p w14:paraId="31186CA8">
            <w:pPr>
              <w:spacing w:after="0" w:line="240" w:lineRule="auto"/>
              <w:jc w:val="left"/>
            </w:pPr>
            <w:r>
              <w:t>预测结果、实测数据、知识图谱关系</w:t>
            </w:r>
          </w:p>
        </w:tc>
        <w:tc>
          <w:tcPr>
            <w:tcW w:w="2309" w:type="dxa"/>
            <w:vAlign w:val="center"/>
          </w:tcPr>
          <w:p w14:paraId="650D9D07">
            <w:pPr>
              <w:spacing w:after="0" w:line="240" w:lineRule="auto"/>
              <w:jc w:val="left"/>
            </w:pPr>
            <w:r>
              <w:t>因果强度计算、主导因子排序、场景分诊、机制解释</w:t>
            </w:r>
          </w:p>
        </w:tc>
        <w:tc>
          <w:tcPr>
            <w:tcW w:w="2309" w:type="dxa"/>
            <w:vAlign w:val="center"/>
          </w:tcPr>
          <w:p w14:paraId="3DF5E775">
            <w:pPr>
              <w:spacing w:after="0" w:line="240" w:lineRule="auto"/>
              <w:jc w:val="left"/>
            </w:pPr>
            <w:r>
              <w:t>诊断报告、场景分诊表、响应建议</w:t>
            </w:r>
          </w:p>
        </w:tc>
      </w:tr>
    </w:tbl>
    <w:p w14:paraId="2BB73BEB"/>
    <w:p w14:paraId="75D06461">
      <w:pPr>
        <w:pStyle w:val="4"/>
        <w:spacing w:before="120" w:after="120"/>
      </w:pPr>
      <w:r>
        <w:t>2.3 系统部署结构</w:t>
      </w:r>
    </w:p>
    <w:p w14:paraId="24486744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系统建议采用浏览器/服务器模式部署。前端提供可视化操作界面，后端提供数据服务、模型服务、任务调度服务和报告生成服务，数据库层负责时序数据、结构化业务数据和实体关系数据存储。对于科研试验场景，可部署在单台工作站；对于多站点连续监测场景，可部署在服务器或私有云环境中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7CC4E4E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28C3A03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组成部分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1A1A9B4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建议技术形态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19A89DA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 w14:paraId="03235CA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5BBFE1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客户端</w:t>
            </w:r>
          </w:p>
        </w:tc>
        <w:tc>
          <w:tcPr>
            <w:tcW w:w="3079" w:type="dxa"/>
            <w:vAlign w:val="center"/>
          </w:tcPr>
          <w:p w14:paraId="1FD69D96">
            <w:pPr>
              <w:spacing w:after="0" w:line="240" w:lineRule="auto"/>
              <w:jc w:val="left"/>
            </w:pPr>
            <w:r>
              <w:t>Chrome、Edge等现代浏览器</w:t>
            </w:r>
          </w:p>
        </w:tc>
        <w:tc>
          <w:tcPr>
            <w:tcW w:w="3079" w:type="dxa"/>
            <w:vAlign w:val="center"/>
          </w:tcPr>
          <w:p w14:paraId="49B31987">
            <w:pPr>
              <w:spacing w:after="0" w:line="240" w:lineRule="auto"/>
              <w:jc w:val="left"/>
            </w:pPr>
            <w:r>
              <w:t>用于登录系统、查看数据看板、上传数据、配置预测任务和下载报告</w:t>
            </w:r>
          </w:p>
        </w:tc>
      </w:tr>
      <w:tr w14:paraId="5E63DA5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061AF6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前端服务</w:t>
            </w:r>
          </w:p>
        </w:tc>
        <w:tc>
          <w:tcPr>
            <w:tcW w:w="3079" w:type="dxa"/>
            <w:vAlign w:val="center"/>
          </w:tcPr>
          <w:p w14:paraId="5D75D69B">
            <w:pPr>
              <w:spacing w:after="0" w:line="240" w:lineRule="auto"/>
              <w:jc w:val="left"/>
            </w:pPr>
            <w:r>
              <w:t>HTML5 / CSS3 / ES Module JavaScript</w:t>
            </w:r>
          </w:p>
        </w:tc>
        <w:tc>
          <w:tcPr>
            <w:tcW w:w="3079" w:type="dxa"/>
            <w:vAlign w:val="center"/>
          </w:tcPr>
          <w:p w14:paraId="044803E2">
            <w:pPr>
              <w:spacing w:after="0" w:line="240" w:lineRule="auto"/>
              <w:jc w:val="left"/>
            </w:pPr>
            <w:r>
              <w:t>实现侧栏导航、图表渲染(SVG)、交互查询和表单提交</w:t>
            </w:r>
          </w:p>
        </w:tc>
      </w:tr>
      <w:tr w14:paraId="6BEB80E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732B410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后端服务</w:t>
            </w:r>
          </w:p>
        </w:tc>
        <w:tc>
          <w:tcPr>
            <w:tcW w:w="3079" w:type="dxa"/>
            <w:vAlign w:val="center"/>
          </w:tcPr>
          <w:p w14:paraId="73E6B8B5">
            <w:pPr>
              <w:spacing w:after="0" w:line="240" w:lineRule="auto"/>
              <w:jc w:val="left"/>
            </w:pPr>
            <w:r>
              <w:t>Python FastAPI + Uvicorn</w:t>
            </w:r>
          </w:p>
        </w:tc>
        <w:tc>
          <w:tcPr>
            <w:tcW w:w="3079" w:type="dxa"/>
            <w:vAlign w:val="center"/>
          </w:tcPr>
          <w:p w14:paraId="1CE9D0BF">
            <w:pPr>
              <w:spacing w:after="0" w:line="240" w:lineRule="auto"/>
              <w:jc w:val="left"/>
            </w:pPr>
            <w:r>
              <w:t>提供REST API、认证服务、任务编排、报告生成和静态文件服务</w:t>
            </w:r>
          </w:p>
        </w:tc>
      </w:tr>
      <w:tr w14:paraId="3EA771D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487BAB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模型服务</w:t>
            </w:r>
          </w:p>
        </w:tc>
        <w:tc>
          <w:tcPr>
            <w:tcW w:w="3079" w:type="dxa"/>
            <w:vAlign w:val="center"/>
          </w:tcPr>
          <w:p w14:paraId="21E072E5">
            <w:pPr>
              <w:spacing w:after="0" w:line="240" w:lineRule="auto"/>
              <w:jc w:val="left"/>
            </w:pPr>
            <w:r>
              <w:t>Python PyTorch + 研究脚本</w:t>
            </w:r>
          </w:p>
        </w:tc>
        <w:tc>
          <w:tcPr>
            <w:tcW w:w="3079" w:type="dxa"/>
            <w:vAlign w:val="center"/>
          </w:tcPr>
          <w:p w14:paraId="0742D670">
            <w:pPr>
              <w:spacing w:after="0" w:line="240" w:lineRule="auto"/>
              <w:jc w:val="left"/>
            </w:pPr>
            <w:r>
              <w:t>封装MSCIM/CMFBE模型训练、加载、预测、评估和分析功能</w:t>
            </w:r>
          </w:p>
        </w:tc>
      </w:tr>
      <w:tr w14:paraId="2964813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CA4B2E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数据库服务</w:t>
            </w:r>
          </w:p>
        </w:tc>
        <w:tc>
          <w:tcPr>
            <w:tcW w:w="3079" w:type="dxa"/>
            <w:vAlign w:val="center"/>
          </w:tcPr>
          <w:p w14:paraId="34CD90A4">
            <w:pPr>
              <w:spacing w:after="0" w:line="240" w:lineRule="auto"/>
              <w:jc w:val="left"/>
            </w:pPr>
            <w:r>
              <w:t>SQLite(状态管理) + 文件系统(产物存储)</w:t>
            </w:r>
          </w:p>
        </w:tc>
        <w:tc>
          <w:tcPr>
            <w:tcW w:w="3079" w:type="dxa"/>
            <w:vAlign w:val="center"/>
          </w:tcPr>
          <w:p w14:paraId="79A68F3E">
            <w:pPr>
              <w:spacing w:after="0" w:line="240" w:lineRule="auto"/>
              <w:jc w:val="left"/>
            </w:pPr>
            <w:r>
              <w:t>存储用户会话、任务状态、导入记录；管理预测产物、图表、报告和日志</w:t>
            </w:r>
          </w:p>
        </w:tc>
      </w:tr>
    </w:tbl>
    <w:p w14:paraId="50DB6D9A"/>
    <w:p w14:paraId="4CF99BE8">
      <w:pPr>
        <w:pStyle w:val="3"/>
        <w:spacing w:before="200" w:after="120"/>
      </w:pPr>
      <w:r>
        <w:t>3 功能模块设计</w:t>
      </w:r>
    </w:p>
    <w:p w14:paraId="5F82BAE3">
      <w:pPr>
        <w:pStyle w:val="4"/>
        <w:spacing w:before="120" w:after="120"/>
      </w:pPr>
      <w:r>
        <w:t>3.1 多源异构水质数据融合与管理模块</w:t>
      </w:r>
    </w:p>
    <w:p w14:paraId="2BAD1475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该模块是系统的数据基础，负责对水质、气象、水文、水利等多源异构数据进行接入、清洗、标准化和统一管理。模块支持按站点、时间、指标类型和数据来源建立数据索引，能够形成包含日尺度连续监测记录的多模态水质综合数据库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5D5E393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4CFC9E6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子功能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3F48A68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功能说明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33B7E72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输出结果</w:t>
            </w:r>
          </w:p>
        </w:tc>
      </w:tr>
      <w:tr w14:paraId="1EC55FF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523E308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数据接入</w:t>
            </w:r>
          </w:p>
        </w:tc>
        <w:tc>
          <w:tcPr>
            <w:tcW w:w="3079" w:type="dxa"/>
            <w:vAlign w:val="center"/>
          </w:tcPr>
          <w:p w14:paraId="20DE4807">
            <w:pPr>
              <w:spacing w:after="0" w:line="240" w:lineRule="auto"/>
              <w:jc w:val="left"/>
            </w:pPr>
            <w:r>
              <w:t>支持文件上传(CSV/Excel/JSON), 接收水质、气象、水动力等类型数据；支持多文件批量上传</w:t>
            </w:r>
          </w:p>
        </w:tc>
        <w:tc>
          <w:tcPr>
            <w:tcW w:w="3079" w:type="dxa"/>
            <w:vAlign w:val="center"/>
          </w:tcPr>
          <w:p w14:paraId="721C3D6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原始数据表</w:t>
            </w:r>
          </w:p>
        </w:tc>
      </w:tr>
      <w:tr w14:paraId="2AAE292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2CB08DA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字段映射</w:t>
            </w:r>
          </w:p>
        </w:tc>
        <w:tc>
          <w:tcPr>
            <w:tcW w:w="3079" w:type="dxa"/>
            <w:vAlign w:val="center"/>
          </w:tcPr>
          <w:p w14:paraId="31E00701">
            <w:pPr>
              <w:spacing w:after="0" w:line="240" w:lineRule="auto"/>
              <w:jc w:val="left"/>
            </w:pPr>
            <w:r>
              <w:t>自动检测数据类型并匹配标准字段；将不同来源的字段名称、单位和格式统一</w:t>
            </w:r>
          </w:p>
        </w:tc>
        <w:tc>
          <w:tcPr>
            <w:tcW w:w="3079" w:type="dxa"/>
            <w:vAlign w:val="center"/>
          </w:tcPr>
          <w:p w14:paraId="724A137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标准字段字典</w:t>
            </w:r>
          </w:p>
        </w:tc>
      </w:tr>
      <w:tr w14:paraId="33DC712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977856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数据清洗</w:t>
            </w:r>
          </w:p>
        </w:tc>
        <w:tc>
          <w:tcPr>
            <w:tcW w:w="3079" w:type="dxa"/>
            <w:vAlign w:val="center"/>
          </w:tcPr>
          <w:p w14:paraId="33053536">
            <w:pPr>
              <w:spacing w:after="0" w:line="240" w:lineRule="auto"/>
              <w:jc w:val="left"/>
            </w:pPr>
            <w:r>
              <w:t>对重复记录去重、缺失值处理(插值/前向填充)、异常波动值识别与标记</w:t>
            </w:r>
          </w:p>
        </w:tc>
        <w:tc>
          <w:tcPr>
            <w:tcW w:w="3079" w:type="dxa"/>
            <w:vAlign w:val="center"/>
          </w:tcPr>
          <w:p w14:paraId="23E4A7D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清洗后数据集</w:t>
            </w:r>
          </w:p>
        </w:tc>
      </w:tr>
      <w:tr w14:paraId="1215157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7222FF1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时间对齐</w:t>
            </w:r>
          </w:p>
        </w:tc>
        <w:tc>
          <w:tcPr>
            <w:tcW w:w="3079" w:type="dxa"/>
            <w:vAlign w:val="center"/>
          </w:tcPr>
          <w:p w14:paraId="7FAB68DC">
            <w:pPr>
              <w:spacing w:after="0" w:line="240" w:lineRule="auto"/>
              <w:jc w:val="left"/>
            </w:pPr>
            <w:r>
              <w:t>将不同采样频率的数据统一到日尺度；缺失日期按规则补齐或标记</w:t>
            </w:r>
          </w:p>
        </w:tc>
        <w:tc>
          <w:tcPr>
            <w:tcW w:w="3079" w:type="dxa"/>
            <w:vAlign w:val="center"/>
          </w:tcPr>
          <w:p w14:paraId="3C5FF25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时间对齐数据表</w:t>
            </w:r>
          </w:p>
        </w:tc>
      </w:tr>
      <w:tr w14:paraId="1C31FE9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2F1A4D6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空间匹配</w:t>
            </w:r>
          </w:p>
        </w:tc>
        <w:tc>
          <w:tcPr>
            <w:tcW w:w="3079" w:type="dxa"/>
            <w:vAlign w:val="center"/>
          </w:tcPr>
          <w:p w14:paraId="2B358929">
            <w:pPr>
              <w:spacing w:after="0" w:line="240" w:lineRule="auto"/>
              <w:jc w:val="left"/>
            </w:pPr>
            <w:r>
              <w:t>根据站点经纬度、所属水域和监测断面建立空间关联索引</w:t>
            </w:r>
          </w:p>
        </w:tc>
        <w:tc>
          <w:tcPr>
            <w:tcW w:w="3079" w:type="dxa"/>
            <w:vAlign w:val="center"/>
          </w:tcPr>
          <w:p w14:paraId="17032B1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站点空间索引</w:t>
            </w:r>
          </w:p>
        </w:tc>
      </w:tr>
      <w:tr w14:paraId="41869D4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0FB0600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入库存储</w:t>
            </w:r>
          </w:p>
        </w:tc>
        <w:tc>
          <w:tcPr>
            <w:tcW w:w="3079" w:type="dxa"/>
            <w:vAlign w:val="center"/>
          </w:tcPr>
          <w:p w14:paraId="53DD0038">
            <w:pPr>
              <w:spacing w:after="0" w:line="240" w:lineRule="auto"/>
              <w:jc w:val="left"/>
            </w:pPr>
            <w:r>
              <w:t>按数据类别写入文件系统或SQLite状态库；记录导入日志</w:t>
            </w:r>
          </w:p>
        </w:tc>
        <w:tc>
          <w:tcPr>
            <w:tcW w:w="3079" w:type="dxa"/>
            <w:vAlign w:val="center"/>
          </w:tcPr>
          <w:p w14:paraId="27ADD24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综合数据库</w:t>
            </w:r>
          </w:p>
        </w:tc>
      </w:tr>
    </w:tbl>
    <w:p w14:paraId="1FCFEDF1"/>
    <w:p w14:paraId="67BA7573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模块运行后，用户可以在数据管理界面查看每类数据的接入状态、清洗结果、异常记录数量和入库记录数量。系统对每次导入任务生成日志，记录导入时间、数据来源、处理行数、失败行数和异常说明，便于后续追溯。</w:t>
      </w:r>
    </w:p>
    <w:p w14:paraId="75019286">
      <w:pPr>
        <w:pStyle w:val="4"/>
        <w:spacing w:before="120" w:after="120"/>
      </w:pPr>
      <w:r>
        <w:t>3.2 水质多维数据可视化与交互模块</w:t>
      </w:r>
    </w:p>
    <w:p w14:paraId="6BE610A5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该模块面向用户提供综合数据库的可视化展示能力。用户可通过时间、站点、指标、水域区域等条件进行查询，并以折线图、柱状图、热力图、地图点位和统计卡片等形式查看水质变化。该模块重点解决“数据能看清、趋势能对比、站点能定位”的问题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189152D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51176A8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子功能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1647569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功能说明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0BDE27E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典型场景</w:t>
            </w:r>
          </w:p>
        </w:tc>
      </w:tr>
      <w:tr w14:paraId="6555A30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29E430B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综合看板</w:t>
            </w:r>
          </w:p>
        </w:tc>
        <w:tc>
          <w:tcPr>
            <w:tcW w:w="3079" w:type="dxa"/>
            <w:vAlign w:val="center"/>
          </w:tcPr>
          <w:p w14:paraId="1F962CE6">
            <w:pPr>
              <w:spacing w:after="0" w:line="240" w:lineRule="auto"/>
              <w:jc w:val="left"/>
            </w:pPr>
            <w:r>
              <w:t>展示站点数量、模型性能指标(R squared)、预测任务状态、数据统计摘要等</w:t>
            </w:r>
          </w:p>
        </w:tc>
        <w:tc>
          <w:tcPr>
            <w:tcW w:w="3079" w:type="dxa"/>
            <w:vAlign w:val="center"/>
          </w:tcPr>
          <w:p w14:paraId="532966D3">
            <w:pPr>
              <w:spacing w:after="0" w:line="240" w:lineRule="auto"/>
              <w:jc w:val="left"/>
            </w:pPr>
            <w:r>
              <w:t>管理人员快速掌握系统运行状态和水质概况</w:t>
            </w:r>
          </w:p>
        </w:tc>
      </w:tr>
      <w:tr w14:paraId="7578071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0A8FCA6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时间序列分析</w:t>
            </w:r>
          </w:p>
        </w:tc>
        <w:tc>
          <w:tcPr>
            <w:tcW w:w="3079" w:type="dxa"/>
            <w:vAlign w:val="center"/>
          </w:tcPr>
          <w:p w14:paraId="37B03DFF">
            <w:pPr>
              <w:spacing w:after="0" w:line="240" w:lineRule="auto"/>
              <w:jc w:val="left"/>
            </w:pPr>
            <w:r>
              <w:t>支持查看浊度、透明度等指标随时间变化的SVG曲线图</w:t>
            </w:r>
          </w:p>
        </w:tc>
        <w:tc>
          <w:tcPr>
            <w:tcW w:w="3079" w:type="dxa"/>
            <w:vAlign w:val="center"/>
          </w:tcPr>
          <w:p w14:paraId="7292826B">
            <w:pPr>
              <w:spacing w:after="0" w:line="240" w:lineRule="auto"/>
              <w:jc w:val="left"/>
            </w:pPr>
            <w:r>
              <w:t>分析浊度变化趋势或突增事件</w:t>
            </w:r>
          </w:p>
        </w:tc>
      </w:tr>
      <w:tr w14:paraId="6661F48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0E8E8AD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指标对比</w:t>
            </w:r>
          </w:p>
        </w:tc>
        <w:tc>
          <w:tcPr>
            <w:tcW w:w="3079" w:type="dxa"/>
            <w:vAlign w:val="center"/>
          </w:tcPr>
          <w:p w14:paraId="0BE973C0">
            <w:pPr>
              <w:spacing w:after="0" w:line="240" w:lineRule="auto"/>
              <w:jc w:val="left"/>
            </w:pPr>
            <w:r>
              <w:t>支持浊度/透明度多个模型预测曲线在同一图表中对比</w:t>
            </w:r>
          </w:p>
        </w:tc>
        <w:tc>
          <w:tcPr>
            <w:tcW w:w="3079" w:type="dxa"/>
            <w:vAlign w:val="center"/>
          </w:tcPr>
          <w:p w14:paraId="713C31C9">
            <w:pPr>
              <w:spacing w:after="0" w:line="240" w:lineRule="auto"/>
              <w:jc w:val="left"/>
            </w:pPr>
            <w:r>
              <w:t>对比MSCIM与CMFBE在不同时段的预测能力</w:t>
            </w:r>
          </w:p>
        </w:tc>
      </w:tr>
      <w:tr w14:paraId="71E7D53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7F8B172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空间分布展示</w:t>
            </w:r>
          </w:p>
        </w:tc>
        <w:tc>
          <w:tcPr>
            <w:tcW w:w="3079" w:type="dxa"/>
            <w:vAlign w:val="center"/>
          </w:tcPr>
          <w:p w14:paraId="23A7CB55">
            <w:pPr>
              <w:spacing w:after="0" w:line="240" w:lineRule="auto"/>
              <w:jc w:val="left"/>
            </w:pPr>
            <w:r>
              <w:t>支持按数据量限制(30-720天)动态加载不同时间跨度的数据</w:t>
            </w:r>
          </w:p>
        </w:tc>
        <w:tc>
          <w:tcPr>
            <w:tcW w:w="3079" w:type="dxa"/>
            <w:vAlign w:val="center"/>
          </w:tcPr>
          <w:p w14:paraId="5092AA9E">
            <w:pPr>
              <w:spacing w:after="0" w:line="240" w:lineRule="auto"/>
              <w:jc w:val="left"/>
            </w:pPr>
            <w:r>
              <w:t>聚焦吴淞口特定时间段的浊度变化</w:t>
            </w:r>
          </w:p>
        </w:tc>
      </w:tr>
      <w:tr w14:paraId="32AFD79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7067187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交互查询</w:t>
            </w:r>
          </w:p>
        </w:tc>
        <w:tc>
          <w:tcPr>
            <w:tcW w:w="3079" w:type="dxa"/>
            <w:vAlign w:val="center"/>
          </w:tcPr>
          <w:p w14:paraId="125826BC">
            <w:pPr>
              <w:spacing w:after="0" w:line="240" w:lineRule="auto"/>
              <w:jc w:val="left"/>
            </w:pPr>
            <w:r>
              <w:t>支持按站点、指标类型、时间范围筛选；前端即时渲染</w:t>
            </w:r>
          </w:p>
        </w:tc>
        <w:tc>
          <w:tcPr>
            <w:tcW w:w="3079" w:type="dxa"/>
            <w:vAlign w:val="center"/>
          </w:tcPr>
          <w:p w14:paraId="07534103">
            <w:pPr>
              <w:spacing w:after="0" w:line="240" w:lineRule="auto"/>
              <w:jc w:val="left"/>
            </w:pPr>
            <w:r>
              <w:t>定位某一时段或某类指标的详细数据</w:t>
            </w:r>
          </w:p>
        </w:tc>
      </w:tr>
    </w:tbl>
    <w:p w14:paraId="5459743A"/>
    <w:p w14:paraId="3E7D26F5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可视化界面不直接修改底层原始数据，只提供筛选、聚合和展示功能。用户在界面中选择时间范围后，系统自动调用后端查询接口，返回符合条件的数据序列并完成图表渲染。</w:t>
      </w:r>
    </w:p>
    <w:p w14:paraId="65077B0E">
      <w:pPr>
        <w:pStyle w:val="4"/>
        <w:spacing w:before="120" w:after="120"/>
      </w:pPr>
      <w:r>
        <w:t>3.3 水体浊度动态预测与模拟模块</w:t>
      </w:r>
    </w:p>
    <w:p w14:paraId="6BB38A03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该模块是软件的核心预测功能，基于历史多模态数据调用MSCIM模型，对特定区域或站点的水体浊度进行预测模拟。用户可选择预测区域、预测时间范围、输入因子和模型版本，系统自动生成浊度预测值，并与实测值进行对比分析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00A4D3E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04696E8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子功能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246F03E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功能说明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30445B3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输出结果</w:t>
            </w:r>
          </w:p>
        </w:tc>
      </w:tr>
      <w:tr w14:paraId="5CC45F0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2676970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预测任务配置</w:t>
            </w:r>
          </w:p>
        </w:tc>
        <w:tc>
          <w:tcPr>
            <w:tcW w:w="3079" w:type="dxa"/>
            <w:vAlign w:val="center"/>
          </w:tcPr>
          <w:p w14:paraId="3C75A0B2">
            <w:pPr>
              <w:spacing w:after="0" w:line="240" w:lineRule="auto"/>
              <w:jc w:val="left"/>
            </w:pPr>
            <w:r>
              <w:t>用户选择站点、起止日期、模型(MSCIM/CMFBE-ST-GCN)和运行模式(快速推理/完整流水线)</w:t>
            </w:r>
          </w:p>
        </w:tc>
        <w:tc>
          <w:tcPr>
            <w:tcW w:w="3079" w:type="dxa"/>
            <w:vAlign w:val="center"/>
          </w:tcPr>
          <w:p w14:paraId="09E50CA6">
            <w:pPr>
              <w:spacing w:after="0" w:line="240" w:lineRule="auto"/>
              <w:jc w:val="left"/>
            </w:pPr>
            <w:r>
              <w:t>预测任务参数</w:t>
            </w:r>
          </w:p>
        </w:tc>
      </w:tr>
      <w:tr w14:paraId="2EEA4A8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36857C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模型加载</w:t>
            </w:r>
          </w:p>
        </w:tc>
        <w:tc>
          <w:tcPr>
            <w:tcW w:w="3079" w:type="dxa"/>
            <w:vAlign w:val="center"/>
          </w:tcPr>
          <w:p w14:paraId="325815A8">
            <w:pPr>
              <w:spacing w:after="0" w:line="240" w:lineRule="auto"/>
              <w:jc w:val="left"/>
            </w:pPr>
            <w:r>
              <w:t>系统加载已训练的MSCIM或CMFBE-ST-GCN模型权重和配置</w:t>
            </w:r>
          </w:p>
        </w:tc>
        <w:tc>
          <w:tcPr>
            <w:tcW w:w="3079" w:type="dxa"/>
            <w:vAlign w:val="center"/>
          </w:tcPr>
          <w:p w14:paraId="55835ADB">
            <w:pPr>
              <w:spacing w:after="0" w:line="240" w:lineRule="auto"/>
              <w:jc w:val="left"/>
            </w:pPr>
            <w:r>
              <w:t>模型运行实例</w:t>
            </w:r>
          </w:p>
        </w:tc>
      </w:tr>
      <w:tr w14:paraId="0A54CCF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202C7FB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预测计算</w:t>
            </w:r>
          </w:p>
        </w:tc>
        <w:tc>
          <w:tcPr>
            <w:tcW w:w="3079" w:type="dxa"/>
            <w:vAlign w:val="center"/>
          </w:tcPr>
          <w:p w14:paraId="45CC3D9F">
            <w:pPr>
              <w:spacing w:after="0" w:line="240" w:lineRule="auto"/>
              <w:jc w:val="left"/>
            </w:pPr>
            <w:r>
              <w:t>将多模态特征输入模型, 输出浊度与透明度预测序列</w:t>
            </w:r>
          </w:p>
        </w:tc>
        <w:tc>
          <w:tcPr>
            <w:tcW w:w="3079" w:type="dxa"/>
            <w:vAlign w:val="center"/>
          </w:tcPr>
          <w:p w14:paraId="5E0B7DDA">
            <w:pPr>
              <w:spacing w:after="0" w:line="240" w:lineRule="auto"/>
              <w:jc w:val="left"/>
            </w:pPr>
            <w:r>
              <w:t>预测浊度值、预测透明度值</w:t>
            </w:r>
          </w:p>
        </w:tc>
      </w:tr>
      <w:tr w14:paraId="67F87BC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742A59B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预测对比</w:t>
            </w:r>
          </w:p>
        </w:tc>
        <w:tc>
          <w:tcPr>
            <w:tcW w:w="3079" w:type="dxa"/>
            <w:vAlign w:val="center"/>
          </w:tcPr>
          <w:p w14:paraId="07D2019A">
            <w:pPr>
              <w:spacing w:after="0" w:line="240" w:lineRule="auto"/>
              <w:jc w:val="left"/>
            </w:pPr>
            <w:r>
              <w:t>将预测值与实测值在同一SVG图表中展示, 标注风险区间</w:t>
            </w:r>
          </w:p>
        </w:tc>
        <w:tc>
          <w:tcPr>
            <w:tcW w:w="3079" w:type="dxa"/>
            <w:vAlign w:val="center"/>
          </w:tcPr>
          <w:p w14:paraId="2025339C">
            <w:pPr>
              <w:spacing w:after="0" w:line="240" w:lineRule="auto"/>
              <w:jc w:val="left"/>
            </w:pPr>
            <w:r>
              <w:t>预测-实测对比图(含风险色带)</w:t>
            </w:r>
          </w:p>
        </w:tc>
      </w:tr>
      <w:tr w14:paraId="7653F4A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389EDED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结果导出</w:t>
            </w:r>
          </w:p>
        </w:tc>
        <w:tc>
          <w:tcPr>
            <w:tcW w:w="3079" w:type="dxa"/>
            <w:vAlign w:val="center"/>
          </w:tcPr>
          <w:p w14:paraId="029B68FF">
            <w:pPr>
              <w:spacing w:after="0" w:line="240" w:lineRule="auto"/>
              <w:jc w:val="left"/>
            </w:pPr>
            <w:r>
              <w:t>支持导出HTML/Markdown/JSON/PDF格式的综合报告</w:t>
            </w:r>
          </w:p>
        </w:tc>
        <w:tc>
          <w:tcPr>
            <w:tcW w:w="3079" w:type="dxa"/>
            <w:vAlign w:val="center"/>
          </w:tcPr>
          <w:p w14:paraId="57F0AE1C">
            <w:pPr>
              <w:spacing w:after="0" w:line="240" w:lineRule="auto"/>
              <w:jc w:val="left"/>
            </w:pPr>
            <w:r>
              <w:t>多格式分析报告</w:t>
            </w:r>
          </w:p>
        </w:tc>
      </w:tr>
    </w:tbl>
    <w:p w14:paraId="15DCBBF5"/>
    <w:p w14:paraId="0D999050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在预测结果展示中，系统可提供预测曲线、实测曲线、误差曲线和统计指标。常用评估指标包括平均绝对误差、均方根误差、决定系数和相对误差等。若某一时段预测误差明显升高，系统可将其标记为异常预测区间，并提示用户进一步进行致浊因子诊断。</w:t>
      </w:r>
    </w:p>
    <w:p w14:paraId="6091B520">
      <w:pPr>
        <w:pStyle w:val="4"/>
        <w:spacing w:before="120" w:after="120"/>
      </w:pPr>
      <w:r>
        <w:t>3.4 致浊因子因果诊断与归因分析模块</w:t>
      </w:r>
    </w:p>
    <w:p w14:paraId="3C8C725F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该模块用于解释浊度变化原因。系统结合因果推断与知识图谱技术，对水动力过程、季节性气象影响、降雨径流、潮汐变化、上游来水、水利调度等因子进行关联建模和影响强度分析，输出致浊因子排序及诊断报告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4527A40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21FAB77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子功能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669EBCD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功能说明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7763605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输出结果</w:t>
            </w:r>
          </w:p>
        </w:tc>
      </w:tr>
      <w:tr w14:paraId="23E7BA7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2F01CD9">
            <w:pPr>
              <w:spacing w:after="0" w:line="240" w:lineRule="auto"/>
              <w:jc w:val="left"/>
            </w:pPr>
            <w:r>
              <w:t>场景分诊</w:t>
            </w:r>
          </w:p>
        </w:tc>
        <w:tc>
          <w:tcPr>
            <w:tcW w:w="3079" w:type="dxa"/>
            <w:vAlign w:val="center"/>
          </w:tcPr>
          <w:p w14:paraId="1631D66B">
            <w:pPr>
              <w:spacing w:after="0" w:line="240" w:lineRule="auto"/>
              <w:jc w:val="left"/>
            </w:pPr>
            <w:r>
              <w:t>将每日状态归类为external_input、internal_release、algal_dominant、chronic_composite四类场景</w:t>
            </w:r>
          </w:p>
        </w:tc>
        <w:tc>
          <w:tcPr>
            <w:tcW w:w="3079" w:type="dxa"/>
            <w:vAlign w:val="center"/>
          </w:tcPr>
          <w:p w14:paraId="39E84678">
            <w:pPr>
              <w:spacing w:after="0" w:line="240" w:lineRule="auto"/>
              <w:jc w:val="left"/>
            </w:pPr>
            <w:r>
              <w:t>场景分诊分类表</w:t>
            </w:r>
          </w:p>
        </w:tc>
      </w:tr>
      <w:tr w14:paraId="7A7BBAD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1850C2A7">
            <w:pPr>
              <w:spacing w:after="0" w:line="240" w:lineRule="auto"/>
              <w:jc w:val="left"/>
            </w:pPr>
            <w:r>
              <w:t>知识图谱推理</w:t>
            </w:r>
          </w:p>
        </w:tc>
        <w:tc>
          <w:tcPr>
            <w:tcW w:w="3079" w:type="dxa"/>
            <w:vAlign w:val="center"/>
          </w:tcPr>
          <w:p w14:paraId="5174BDD0">
            <w:pPr>
              <w:spacing w:after="0" w:line="240" w:lineRule="auto"/>
              <w:jc w:val="left"/>
            </w:pPr>
            <w:r>
              <w:t>构建因子-过程-指标-区域实体关系, 辅助解释致浊机制</w:t>
            </w:r>
          </w:p>
        </w:tc>
        <w:tc>
          <w:tcPr>
            <w:tcW w:w="3079" w:type="dxa"/>
            <w:vAlign w:val="center"/>
          </w:tcPr>
          <w:p w14:paraId="7F41704F">
            <w:pPr>
              <w:spacing w:after="0" w:line="240" w:lineRule="auto"/>
              <w:jc w:val="left"/>
            </w:pPr>
            <w:r>
              <w:t>水体浊度知识图谱</w:t>
            </w:r>
          </w:p>
        </w:tc>
      </w:tr>
      <w:tr w14:paraId="27C35DA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7337DD2A">
            <w:pPr>
              <w:spacing w:after="0" w:line="240" w:lineRule="auto"/>
              <w:jc w:val="left"/>
            </w:pPr>
            <w:r>
              <w:t>因果强度计算</w:t>
            </w:r>
          </w:p>
        </w:tc>
        <w:tc>
          <w:tcPr>
            <w:tcW w:w="3079" w:type="dxa"/>
            <w:vAlign w:val="center"/>
          </w:tcPr>
          <w:p w14:paraId="4BFD989F">
            <w:pPr>
              <w:spacing w:after="0" w:line="240" w:lineRule="auto"/>
              <w:jc w:val="left"/>
            </w:pPr>
            <w:r>
              <w:t>根据历史数据和模型输出量化候选因子与浊度变化之间的影响强度</w:t>
            </w:r>
          </w:p>
        </w:tc>
        <w:tc>
          <w:tcPr>
            <w:tcW w:w="3079" w:type="dxa"/>
            <w:vAlign w:val="center"/>
          </w:tcPr>
          <w:p w14:paraId="121B021D">
            <w:pPr>
              <w:spacing w:after="0" w:line="240" w:lineRule="auto"/>
              <w:jc w:val="left"/>
            </w:pPr>
            <w:r>
              <w:t>因子贡献度排序</w:t>
            </w:r>
          </w:p>
        </w:tc>
      </w:tr>
      <w:tr w14:paraId="152CAB9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38A678D7">
            <w:pPr>
              <w:spacing w:after="0" w:line="240" w:lineRule="auto"/>
              <w:jc w:val="left"/>
            </w:pPr>
            <w:r>
              <w:t>主导因子识别</w:t>
            </w:r>
          </w:p>
        </w:tc>
        <w:tc>
          <w:tcPr>
            <w:tcW w:w="3079" w:type="dxa"/>
            <w:vAlign w:val="center"/>
          </w:tcPr>
          <w:p w14:paraId="092ADE30">
            <w:pPr>
              <w:spacing w:after="0" w:line="240" w:lineRule="auto"/>
              <w:jc w:val="left"/>
            </w:pPr>
            <w:r>
              <w:t>对候选因子排序, 识别主导致浊因子和次要影响因子; 输出主导过程分类</w:t>
            </w:r>
          </w:p>
        </w:tc>
        <w:tc>
          <w:tcPr>
            <w:tcW w:w="3079" w:type="dxa"/>
            <w:vAlign w:val="center"/>
          </w:tcPr>
          <w:p w14:paraId="5B23FCB2">
            <w:pPr>
              <w:spacing w:after="0" w:line="240" w:lineRule="auto"/>
              <w:jc w:val="left"/>
            </w:pPr>
            <w:r>
              <w:t>主导致浊因子列表</w:t>
            </w:r>
          </w:p>
        </w:tc>
      </w:tr>
      <w:tr w14:paraId="1A4F49C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14506C2B">
            <w:pPr>
              <w:spacing w:after="0" w:line="240" w:lineRule="auto"/>
              <w:jc w:val="left"/>
            </w:pPr>
            <w:r>
              <w:t>诊断报告生成</w:t>
            </w:r>
          </w:p>
        </w:tc>
        <w:tc>
          <w:tcPr>
            <w:tcW w:w="3079" w:type="dxa"/>
            <w:vAlign w:val="center"/>
          </w:tcPr>
          <w:p w14:paraId="77EEBAC5">
            <w:pPr>
              <w:spacing w:after="0" w:line="240" w:lineRule="auto"/>
              <w:jc w:val="left"/>
            </w:pPr>
            <w:r>
              <w:t>输出浊度变化过程、主要原因、影响机制和建议关注指标</w:t>
            </w:r>
          </w:p>
        </w:tc>
        <w:tc>
          <w:tcPr>
            <w:tcW w:w="3079" w:type="dxa"/>
            <w:vAlign w:val="center"/>
          </w:tcPr>
          <w:p w14:paraId="6B07F355">
            <w:pPr>
              <w:spacing w:after="0" w:line="240" w:lineRule="auto"/>
              <w:jc w:val="left"/>
            </w:pPr>
            <w:r>
              <w:t>归因诊断报告</w:t>
            </w:r>
          </w:p>
        </w:tc>
      </w:tr>
    </w:tbl>
    <w:p w14:paraId="6F8C6F00"/>
    <w:p w14:paraId="7116473D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模块输出不只给出相关性结果，而是围绕“哪个因子主导、通过什么过程影响、在什么时间段最明显”进行解释。例如，当系统识别到潮位变化与流速增强共同作用时，可将诊断结果解释为水动力过程主导；当降雨量、径流量和悬浮物变化同步增强时，可解释为季节性降雨径流影响增强。</w:t>
      </w:r>
    </w:p>
    <w:p w14:paraId="04FB6C1F">
      <w:pPr>
        <w:pStyle w:val="3"/>
        <w:spacing w:before="200" w:after="120"/>
      </w:pPr>
      <w:r>
        <w:t>4 数据库与数据处理设计</w:t>
      </w:r>
    </w:p>
    <w:p w14:paraId="1B214F6E">
      <w:pPr>
        <w:pStyle w:val="4"/>
        <w:spacing w:before="120" w:after="120"/>
      </w:pPr>
      <w:r>
        <w:t>4.1 数据类型与字段范围</w:t>
      </w:r>
    </w:p>
    <w:p w14:paraId="50D127CE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系统以水质监测数据为核心，并向外扩展气象、水文、水利和空间信息。各类数据通过统一的站点编号、时间戳和空间坐标建立关联，保证模型训练、查询展示和归因分析使用同一套数据底座。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4E317BC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5D1D432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数据类别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09ABF9B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主要字段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059558E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 w14:paraId="451CE0F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584518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水质数据</w:t>
            </w:r>
          </w:p>
        </w:tc>
        <w:tc>
          <w:tcPr>
            <w:tcW w:w="3079" w:type="dxa"/>
            <w:vAlign w:val="center"/>
          </w:tcPr>
          <w:p w14:paraId="42D203D6">
            <w:pPr>
              <w:spacing w:after="0" w:line="240" w:lineRule="auto"/>
              <w:jc w:val="left"/>
            </w:pPr>
            <w:r>
              <w:t>站点编号、采样时间、水温、浊度、pH、电导率、溶解氧、悬浮物浓度、透明度</w:t>
            </w:r>
          </w:p>
        </w:tc>
        <w:tc>
          <w:tcPr>
            <w:tcW w:w="3079" w:type="dxa"/>
            <w:vAlign w:val="center"/>
          </w:tcPr>
          <w:p w14:paraId="1261CA62">
            <w:pPr>
              <w:spacing w:after="0" w:line="240" w:lineRule="auto"/>
              <w:jc w:val="left"/>
            </w:pPr>
            <w:r>
              <w:t>支撑水质状态展示和浊度/透明度预测建模</w:t>
            </w:r>
          </w:p>
        </w:tc>
      </w:tr>
      <w:tr w14:paraId="0EB4E68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FFC88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气象数据</w:t>
            </w:r>
          </w:p>
        </w:tc>
        <w:tc>
          <w:tcPr>
            <w:tcW w:w="3079" w:type="dxa"/>
            <w:vAlign w:val="center"/>
          </w:tcPr>
          <w:p w14:paraId="4EB75B1D">
            <w:pPr>
              <w:spacing w:after="0" w:line="240" w:lineRule="auto"/>
              <w:jc w:val="left"/>
            </w:pPr>
            <w:r>
              <w:t>降雨量、风速、风向、气温、湿度、气压</w:t>
            </w:r>
          </w:p>
        </w:tc>
        <w:tc>
          <w:tcPr>
            <w:tcW w:w="3079" w:type="dxa"/>
            <w:vAlign w:val="center"/>
          </w:tcPr>
          <w:p w14:paraId="54423C5E">
            <w:pPr>
              <w:spacing w:after="0" w:line="240" w:lineRule="auto"/>
              <w:jc w:val="left"/>
            </w:pPr>
            <w:r>
              <w:t>分析气象条件对浊度变化的驱动影响</w:t>
            </w:r>
          </w:p>
        </w:tc>
      </w:tr>
      <w:tr w14:paraId="2B3FE4E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245EC52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水文数据</w:t>
            </w:r>
          </w:p>
        </w:tc>
        <w:tc>
          <w:tcPr>
            <w:tcW w:w="3079" w:type="dxa"/>
            <w:vAlign w:val="center"/>
          </w:tcPr>
          <w:p w14:paraId="77E4AF3B">
            <w:pPr>
              <w:spacing w:after="0" w:line="240" w:lineRule="auto"/>
              <w:jc w:val="left"/>
            </w:pPr>
            <w:r>
              <w:t>流速、流量、水位、潮位、径流量</w:t>
            </w:r>
          </w:p>
        </w:tc>
        <w:tc>
          <w:tcPr>
            <w:tcW w:w="3079" w:type="dxa"/>
            <w:vAlign w:val="center"/>
          </w:tcPr>
          <w:p w14:paraId="455103A1">
            <w:pPr>
              <w:spacing w:after="0" w:line="240" w:lineRule="auto"/>
              <w:jc w:val="left"/>
            </w:pPr>
            <w:r>
              <w:t>表征水动力过程和河口交换过程; 构造冲刷外输潜力等代理变量</w:t>
            </w:r>
          </w:p>
        </w:tc>
      </w:tr>
      <w:tr w14:paraId="22E3C4D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24C58C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水利数据</w:t>
            </w:r>
          </w:p>
        </w:tc>
        <w:tc>
          <w:tcPr>
            <w:tcW w:w="3079" w:type="dxa"/>
            <w:vAlign w:val="center"/>
          </w:tcPr>
          <w:p w14:paraId="2A534C8F">
            <w:pPr>
              <w:spacing w:after="0" w:line="240" w:lineRule="auto"/>
              <w:jc w:val="left"/>
            </w:pPr>
            <w:r>
              <w:t>闸门开度、调度时间、排水量</w:t>
            </w:r>
          </w:p>
        </w:tc>
        <w:tc>
          <w:tcPr>
            <w:tcW w:w="3079" w:type="dxa"/>
            <w:vAlign w:val="center"/>
          </w:tcPr>
          <w:p w14:paraId="3808AAE5">
            <w:pPr>
              <w:spacing w:after="0" w:line="240" w:lineRule="auto"/>
              <w:jc w:val="left"/>
            </w:pPr>
            <w:r>
              <w:t>分析工程调度对水体扰动和输移过程的影响</w:t>
            </w:r>
          </w:p>
        </w:tc>
      </w:tr>
      <w:tr w14:paraId="41ECBAD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9BA8B2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空间数据</w:t>
            </w:r>
          </w:p>
        </w:tc>
        <w:tc>
          <w:tcPr>
            <w:tcW w:w="3079" w:type="dxa"/>
            <w:vAlign w:val="center"/>
          </w:tcPr>
          <w:p w14:paraId="00891E25">
            <w:pPr>
              <w:spacing w:after="0" w:line="240" w:lineRule="auto"/>
              <w:jc w:val="left"/>
            </w:pPr>
            <w:r>
              <w:t>站点名称、经度、纬度、水域名称、行政区划</w:t>
            </w:r>
          </w:p>
        </w:tc>
        <w:tc>
          <w:tcPr>
            <w:tcW w:w="3079" w:type="dxa"/>
            <w:vAlign w:val="center"/>
          </w:tcPr>
          <w:p w14:paraId="3E620877">
            <w:pPr>
              <w:spacing w:after="0" w:line="240" w:lineRule="auto"/>
              <w:jc w:val="left"/>
            </w:pPr>
            <w:r>
              <w:t>支撑站点空间关联和地图展示</w:t>
            </w:r>
          </w:p>
        </w:tc>
      </w:tr>
    </w:tbl>
    <w:p w14:paraId="48D6D0F6"/>
    <w:p w14:paraId="2ECF434E">
      <w:pPr>
        <w:pStyle w:val="4"/>
        <w:spacing w:before="120" w:after="120"/>
      </w:pPr>
      <w:r>
        <w:t>4.2 数据接入与清洗规则</w:t>
      </w:r>
    </w:p>
    <w:p w14:paraId="366730F3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数据接入后，系统按照字段完整性、时间连续性、数值合理性和空间一致性进行检查。对于缺失值，系统根据字段类型采用删除、插值、前向填充或模型估计方式处理；对于明显异常值，系统根据阈值规则、统计分布和相邻时段变化幅度进行识别；对于不同时间粒度的数据，系统按照用户选择的分析尺度进行聚合或重采样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4C7D721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7D59359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规则类型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168E1E3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处理方式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6ED85C9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 w14:paraId="19CB07F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2825605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字段完整性检查</w:t>
            </w:r>
          </w:p>
        </w:tc>
        <w:tc>
          <w:tcPr>
            <w:tcW w:w="3079" w:type="dxa"/>
            <w:vAlign w:val="center"/>
          </w:tcPr>
          <w:p w14:paraId="132FD69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检查必填字段是否为空</w:t>
            </w:r>
          </w:p>
        </w:tc>
        <w:tc>
          <w:tcPr>
            <w:tcW w:w="3079" w:type="dxa"/>
            <w:vAlign w:val="center"/>
          </w:tcPr>
          <w:p w14:paraId="5533E72E">
            <w:pPr>
              <w:spacing w:after="0" w:line="240" w:lineRule="auto"/>
              <w:jc w:val="left"/>
            </w:pPr>
            <w:r>
              <w:t>站点编号、时间戳、浊度值等核心字段不得缺失</w:t>
            </w:r>
          </w:p>
        </w:tc>
      </w:tr>
      <w:tr w14:paraId="375E41D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3FE8555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重复记录处理</w:t>
            </w:r>
          </w:p>
        </w:tc>
        <w:tc>
          <w:tcPr>
            <w:tcW w:w="3079" w:type="dxa"/>
            <w:vAlign w:val="center"/>
          </w:tcPr>
          <w:p w14:paraId="45B392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按站点编号和时间戳去重</w:t>
            </w:r>
          </w:p>
        </w:tc>
        <w:tc>
          <w:tcPr>
            <w:tcW w:w="3079" w:type="dxa"/>
            <w:vAlign w:val="center"/>
          </w:tcPr>
          <w:p w14:paraId="312F7BED">
            <w:pPr>
              <w:spacing w:after="0" w:line="240" w:lineRule="auto"/>
              <w:jc w:val="left"/>
            </w:pPr>
            <w:r>
              <w:t>保留最新记录或取平均值</w:t>
            </w:r>
          </w:p>
        </w:tc>
      </w:tr>
      <w:tr w14:paraId="75CDF9B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555F6A1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异常值识别</w:t>
            </w:r>
          </w:p>
        </w:tc>
        <w:tc>
          <w:tcPr>
            <w:tcW w:w="3079" w:type="dxa"/>
            <w:vAlign w:val="center"/>
          </w:tcPr>
          <w:p w14:paraId="057421A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采用阈值规则和突变检测</w:t>
            </w:r>
          </w:p>
        </w:tc>
        <w:tc>
          <w:tcPr>
            <w:tcW w:w="3079" w:type="dxa"/>
            <w:vAlign w:val="center"/>
          </w:tcPr>
          <w:p w14:paraId="325194A7">
            <w:pPr>
              <w:spacing w:after="0" w:line="240" w:lineRule="auto"/>
              <w:jc w:val="left"/>
            </w:pPr>
            <w:r>
              <w:t>识别负值、越界值和短时间剧烈跳变</w:t>
            </w:r>
          </w:p>
        </w:tc>
      </w:tr>
      <w:tr w14:paraId="2E298CF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392AF1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单位标准化</w:t>
            </w:r>
          </w:p>
        </w:tc>
        <w:tc>
          <w:tcPr>
            <w:tcW w:w="3079" w:type="dxa"/>
            <w:vAlign w:val="center"/>
          </w:tcPr>
          <w:p w14:paraId="0337A62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统一单位和精度</w:t>
            </w:r>
          </w:p>
        </w:tc>
        <w:tc>
          <w:tcPr>
            <w:tcW w:w="3079" w:type="dxa"/>
            <w:vAlign w:val="center"/>
          </w:tcPr>
          <w:p w14:paraId="3CD750EB">
            <w:pPr>
              <w:spacing w:after="0" w:line="240" w:lineRule="auto"/>
              <w:jc w:val="left"/>
            </w:pPr>
            <w:r>
              <w:t>将不同来源的数据转换为系统标准单位</w:t>
            </w:r>
          </w:p>
        </w:tc>
      </w:tr>
      <w:tr w14:paraId="1CED483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79B84C7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时间尺度统一</w:t>
            </w:r>
          </w:p>
        </w:tc>
        <w:tc>
          <w:tcPr>
            <w:tcW w:w="3079" w:type="dxa"/>
            <w:vAlign w:val="center"/>
          </w:tcPr>
          <w:p w14:paraId="3C4D2DB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按小时、日或自定义粒度重采样</w:t>
            </w:r>
          </w:p>
        </w:tc>
        <w:tc>
          <w:tcPr>
            <w:tcW w:w="3079" w:type="dxa"/>
            <w:vAlign w:val="center"/>
          </w:tcPr>
          <w:p w14:paraId="0547F051">
            <w:pPr>
              <w:spacing w:after="0" w:line="240" w:lineRule="auto"/>
              <w:jc w:val="left"/>
            </w:pPr>
            <w:r>
              <w:t>支撑日尺度连续监测记录构建</w:t>
            </w:r>
          </w:p>
        </w:tc>
      </w:tr>
      <w:tr w14:paraId="2D38079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F3B2AC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空间关系校验</w:t>
            </w:r>
          </w:p>
        </w:tc>
        <w:tc>
          <w:tcPr>
            <w:tcW w:w="3079" w:type="dxa"/>
            <w:vAlign w:val="center"/>
          </w:tcPr>
          <w:p w14:paraId="094AC53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核对站点经纬度与所属水域</w:t>
            </w:r>
          </w:p>
        </w:tc>
        <w:tc>
          <w:tcPr>
            <w:tcW w:w="3079" w:type="dxa"/>
            <w:vAlign w:val="center"/>
          </w:tcPr>
          <w:p w14:paraId="0BAC480B">
            <w:pPr>
              <w:spacing w:after="0" w:line="240" w:lineRule="auto"/>
              <w:jc w:val="left"/>
            </w:pPr>
            <w:r>
              <w:t>避免站点归属错误影响空间分析</w:t>
            </w:r>
          </w:p>
        </w:tc>
      </w:tr>
    </w:tbl>
    <w:p w14:paraId="1020FC6C"/>
    <w:p w14:paraId="5F8B6797">
      <w:pPr>
        <w:pStyle w:val="4"/>
        <w:spacing w:before="120" w:after="120"/>
      </w:pPr>
      <w:r>
        <w:t>4.3 标准化存储方案</w:t>
      </w:r>
    </w:p>
    <w:p w14:paraId="3849A7AB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系统建议采用时序库、关系库和图数据库联合存储方案。时序库存储连续监测记录，关系库存储用户、站点、任务、模型版本和报告信息，图数据库存储致浊因子、监测指标、水文过程和水域对象之间的关系。该设计兼顾高频数据查询、业务管理和知识关联推理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5305320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744C737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数据库类型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2EBA29B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存储对象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414C916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典型表或节点</w:t>
            </w:r>
          </w:p>
        </w:tc>
      </w:tr>
      <w:tr w14:paraId="3FF67EB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7058A339">
            <w:pPr>
              <w:spacing w:after="0" w:line="240" w:lineRule="auto"/>
              <w:jc w:val="left"/>
            </w:pPr>
            <w:r>
              <w:t>文件系统存储</w:t>
            </w:r>
          </w:p>
        </w:tc>
        <w:tc>
          <w:tcPr>
            <w:tcW w:w="3079" w:type="dxa"/>
            <w:vAlign w:val="center"/>
          </w:tcPr>
          <w:p w14:paraId="1B27E224">
            <w:pPr>
              <w:spacing w:after="0" w:line="240" w:lineRule="auto"/>
              <w:jc w:val="left"/>
            </w:pPr>
            <w:r>
              <w:t>预测产物(CSV/JSON)、图表(PNG)、诊断报告(HTML/MD/JSON/PDF)、模型参数文件</w:t>
            </w:r>
          </w:p>
        </w:tc>
        <w:tc>
          <w:tcPr>
            <w:tcW w:w="3079" w:type="dxa"/>
            <w:vAlign w:val="center"/>
          </w:tcPr>
          <w:p w14:paraId="3E1F9D8E">
            <w:pPr>
              <w:spacing w:after="0" w:line="240" w:lineRule="auto"/>
              <w:jc w:val="left"/>
            </w:pPr>
            <w:r>
              <w:t>outputs/predictions/、outputs/plots/、outputs/diagnosis/、outputs/models/</w:t>
            </w:r>
          </w:p>
        </w:tc>
      </w:tr>
      <w:tr w14:paraId="4A7A6E3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509C3AE2">
            <w:pPr>
              <w:spacing w:after="0" w:line="240" w:lineRule="auto"/>
              <w:jc w:val="left"/>
            </w:pPr>
            <w:r>
              <w:t>SQLite状态库</w:t>
            </w:r>
          </w:p>
        </w:tc>
        <w:tc>
          <w:tcPr>
            <w:tcW w:w="3079" w:type="dxa"/>
            <w:vAlign w:val="center"/>
          </w:tcPr>
          <w:p w14:paraId="159509A9">
            <w:pPr>
              <w:spacing w:after="0" w:line="240" w:lineRule="auto"/>
              <w:jc w:val="left"/>
            </w:pPr>
            <w:r>
              <w:t>用户会话、导入记录、预测任务状态、任务日志</w:t>
            </w:r>
          </w:p>
        </w:tc>
        <w:tc>
          <w:tcPr>
            <w:tcW w:w="3079" w:type="dxa"/>
            <w:vAlign w:val="center"/>
          </w:tcPr>
          <w:p w14:paraId="1EBACDFF">
            <w:pPr>
              <w:spacing w:after="0" w:line="240" w:lineRule="auto"/>
              <w:jc w:val="left"/>
            </w:pPr>
            <w:r>
              <w:t>app_state.sqlite3(user_session、import_record、prediction_job等)</w:t>
            </w:r>
          </w:p>
        </w:tc>
      </w:tr>
      <w:tr w14:paraId="7343FE3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08F0624">
            <w:pPr>
              <w:spacing w:after="0" w:line="240" w:lineRule="auto"/>
              <w:jc w:val="left"/>
            </w:pPr>
            <w:r>
              <w:t>知识图谱文件</w:t>
            </w:r>
          </w:p>
        </w:tc>
        <w:tc>
          <w:tcPr>
            <w:tcW w:w="3079" w:type="dxa"/>
            <w:vAlign w:val="center"/>
          </w:tcPr>
          <w:p w14:paraId="0ABC9BCE">
            <w:pPr>
              <w:spacing w:after="0" w:line="240" w:lineRule="auto"/>
              <w:jc w:val="left"/>
            </w:pPr>
            <w:r>
              <w:t>致浊因子、影响过程、指标关系、区域关联的JSON关系图</w:t>
            </w:r>
          </w:p>
        </w:tc>
        <w:tc>
          <w:tcPr>
            <w:tcW w:w="3079" w:type="dxa"/>
            <w:vAlign w:val="center"/>
          </w:tcPr>
          <w:p w14:paraId="2AB6F256">
            <w:pPr>
              <w:spacing w:after="0" w:line="240" w:lineRule="auto"/>
              <w:jc w:val="left"/>
            </w:pPr>
            <w:r>
              <w:t>data/knowledge_graph/、outputs/agent/</w:t>
            </w:r>
          </w:p>
        </w:tc>
      </w:tr>
    </w:tbl>
    <w:p w14:paraId="0B0E7AC8"/>
    <w:p w14:paraId="55D2BD84">
      <w:pPr>
        <w:pStyle w:val="3"/>
        <w:spacing w:before="200" w:after="120"/>
      </w:pPr>
      <w:r>
        <w:t>5 算法模型设计</w:t>
      </w:r>
    </w:p>
    <w:p w14:paraId="18A2D900">
      <w:pPr>
        <w:pStyle w:val="4"/>
        <w:spacing w:before="120" w:after="120"/>
      </w:pPr>
      <w:r>
        <w:t>5.1 MSCIM浊度预测模型流程</w:t>
      </w:r>
    </w:p>
    <w:p w14:paraId="43E088C4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MSCIM模型作为本软件算法层的核心，用于从多模态历史数据中学习浊度变化规律。模型输入包括水质状态特征、气象驱动特征、水文动力特征、水利调度特征和空间站点特征；模型输出为目标区域或站点在指定时间范围内的浊度预测值。</w:t>
      </w:r>
    </w:p>
    <w:p w14:paraId="760D623D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模型运行流程为：数据样本读取 → 特征工程处理 → 多模态特征融合 → 模型训练或加载 → 浊度序列预测 → 误差评估 → 结果入库。系统将模型版本、训练数据范围、特征列表、参数文件和评估结果统一保存，便于不同模型版本之间进行对比。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3CE1167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3834525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模型环节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0B2143C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处理内容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46A3840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 w14:paraId="0AB750E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122419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输入构建</w:t>
            </w:r>
          </w:p>
        </w:tc>
        <w:tc>
          <w:tcPr>
            <w:tcW w:w="3079" w:type="dxa"/>
            <w:vAlign w:val="center"/>
          </w:tcPr>
          <w:p w14:paraId="49BAFD1C">
            <w:pPr>
              <w:spacing w:after="0" w:line="240" w:lineRule="auto"/>
              <w:jc w:val="left"/>
            </w:pPr>
            <w:r>
              <w:t>读取水质、气象、水文特征; 加载知识图谱先验邻接矩阵</w:t>
            </w:r>
          </w:p>
        </w:tc>
        <w:tc>
          <w:tcPr>
            <w:tcW w:w="3079" w:type="dxa"/>
            <w:vAlign w:val="center"/>
          </w:tcPr>
          <w:p w14:paraId="61FF3AB0">
            <w:pPr>
              <w:spacing w:after="0" w:line="240" w:lineRule="auto"/>
              <w:jc w:val="left"/>
            </w:pPr>
            <w:r>
              <w:t>模型输入样本</w:t>
            </w:r>
          </w:p>
        </w:tc>
      </w:tr>
      <w:tr w14:paraId="234D8F6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345C64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特征处理</w:t>
            </w:r>
          </w:p>
        </w:tc>
        <w:tc>
          <w:tcPr>
            <w:tcW w:w="3079" w:type="dxa"/>
            <w:vAlign w:val="center"/>
          </w:tcPr>
          <w:p w14:paraId="3C33D4B0">
            <w:pPr>
              <w:spacing w:after="0" w:line="240" w:lineRule="auto"/>
              <w:jc w:val="left"/>
            </w:pPr>
            <w:r>
              <w:t>归一化、滞后项构造(1-7天)、滑动窗口统计量、缺失值补全</w:t>
            </w:r>
          </w:p>
        </w:tc>
        <w:tc>
          <w:tcPr>
            <w:tcW w:w="3079" w:type="dxa"/>
            <w:vAlign w:val="center"/>
          </w:tcPr>
          <w:p w14:paraId="7E627A65">
            <w:pPr>
              <w:spacing w:after="0" w:line="240" w:lineRule="auto"/>
              <w:jc w:val="left"/>
            </w:pPr>
            <w:r>
              <w:t>多模态特征矩阵</w:t>
            </w:r>
          </w:p>
        </w:tc>
      </w:tr>
      <w:tr w14:paraId="2D54587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17044F4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特征融合</w:t>
            </w:r>
          </w:p>
        </w:tc>
        <w:tc>
          <w:tcPr>
            <w:tcW w:w="3079" w:type="dxa"/>
            <w:vAlign w:val="center"/>
          </w:tcPr>
          <w:p w14:paraId="3D4CB4B2">
            <w:pPr>
              <w:spacing w:after="0" w:line="240" w:lineRule="auto"/>
              <w:jc w:val="left"/>
            </w:pPr>
            <w:r>
              <w:t>位置感知时序Transformer编码器 + 知识图谱先验图卷积</w:t>
            </w:r>
          </w:p>
        </w:tc>
        <w:tc>
          <w:tcPr>
            <w:tcW w:w="3079" w:type="dxa"/>
            <w:vAlign w:val="center"/>
          </w:tcPr>
          <w:p w14:paraId="5CD3DD89">
            <w:pPr>
              <w:spacing w:after="0" w:line="240" w:lineRule="auto"/>
              <w:jc w:val="left"/>
            </w:pPr>
            <w:r>
              <w:t>融合特征表示</w:t>
            </w:r>
          </w:p>
        </w:tc>
      </w:tr>
      <w:tr w14:paraId="6E24366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55439C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模型推理</w:t>
            </w:r>
          </w:p>
        </w:tc>
        <w:tc>
          <w:tcPr>
            <w:tcW w:w="3079" w:type="dxa"/>
            <w:vAlign w:val="center"/>
          </w:tcPr>
          <w:p w14:paraId="5F261CDF">
            <w:pPr>
              <w:spacing w:after="0" w:line="240" w:lineRule="auto"/>
              <w:jc w:val="left"/>
            </w:pPr>
            <w:r>
              <w:t>调用MSCIM或CMFBE-ST-GCN模型输出浊度与透明度预测值</w:t>
            </w:r>
          </w:p>
        </w:tc>
        <w:tc>
          <w:tcPr>
            <w:tcW w:w="3079" w:type="dxa"/>
            <w:vAlign w:val="center"/>
          </w:tcPr>
          <w:p w14:paraId="40B3E67E">
            <w:pPr>
              <w:spacing w:after="0" w:line="240" w:lineRule="auto"/>
              <w:jc w:val="left"/>
            </w:pPr>
            <w:r>
              <w:t>预测序列(浊度+透明度代理)</w:t>
            </w:r>
          </w:p>
        </w:tc>
      </w:tr>
      <w:tr w14:paraId="2D21B01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09043E8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结果评估</w:t>
            </w:r>
          </w:p>
        </w:tc>
        <w:tc>
          <w:tcPr>
            <w:tcW w:w="3079" w:type="dxa"/>
            <w:vAlign w:val="center"/>
          </w:tcPr>
          <w:p w14:paraId="68D40FEF">
            <w:pPr>
              <w:spacing w:after="0" w:line="240" w:lineRule="auto"/>
              <w:jc w:val="left"/>
            </w:pPr>
            <w:r>
              <w:t>计算R squared/MAE/RMSE并与基线模型(持久性预测)对比</w:t>
            </w:r>
          </w:p>
        </w:tc>
        <w:tc>
          <w:tcPr>
            <w:tcW w:w="3079" w:type="dxa"/>
            <w:vAlign w:val="center"/>
          </w:tcPr>
          <w:p w14:paraId="607CB12A">
            <w:pPr>
              <w:spacing w:after="0" w:line="240" w:lineRule="auto"/>
              <w:jc w:val="left"/>
            </w:pPr>
            <w:r>
              <w:t>评估指标与对比图</w:t>
            </w:r>
          </w:p>
        </w:tc>
      </w:tr>
    </w:tbl>
    <w:p w14:paraId="1B9980F2"/>
    <w:p w14:paraId="411CE4FF">
      <w:pPr>
        <w:pStyle w:val="4"/>
        <w:spacing w:before="120" w:after="120"/>
      </w:pPr>
      <w:r>
        <w:t>5.2 模型训练与预测流程</w:t>
      </w:r>
    </w:p>
    <w:p w14:paraId="4B2DD0C0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当系统处于模型训练模式时，用户选择训练数据范围、验证数据范围和输入因子，系统自动完成样本划分、模型训练、参数保存和评估指标生成。当系统处于预测模式时，用户选择目标站点、预测起止时间和模型版本，系统加载已保存的模型参数，生成浊度预测结果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3FFAF71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288465D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流程阶段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7E6AB27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训练模式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1A4B954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预测模式</w:t>
            </w:r>
          </w:p>
        </w:tc>
      </w:tr>
      <w:tr w14:paraId="6D22FA5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1B63F5C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数据选择</w:t>
            </w:r>
          </w:p>
        </w:tc>
        <w:tc>
          <w:tcPr>
            <w:tcW w:w="3079" w:type="dxa"/>
            <w:vAlign w:val="center"/>
          </w:tcPr>
          <w:p w14:paraId="0C09CC06">
            <w:pPr>
              <w:spacing w:after="0" w:line="240" w:lineRule="auto"/>
              <w:jc w:val="left"/>
            </w:pPr>
            <w:r>
              <w:t>选择训练/验证/测试数据集和输入特征列表</w:t>
            </w:r>
          </w:p>
        </w:tc>
        <w:tc>
          <w:tcPr>
            <w:tcW w:w="3079" w:type="dxa"/>
            <w:vAlign w:val="center"/>
          </w:tcPr>
          <w:p w14:paraId="7020A335">
            <w:pPr>
              <w:spacing w:after="0" w:line="240" w:lineRule="auto"/>
              <w:jc w:val="left"/>
            </w:pPr>
            <w:r>
              <w:t>选择目标站点、预测区间和模型版本</w:t>
            </w:r>
          </w:p>
        </w:tc>
      </w:tr>
      <w:tr w14:paraId="1158310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1C56251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数据处理</w:t>
            </w:r>
          </w:p>
        </w:tc>
        <w:tc>
          <w:tcPr>
            <w:tcW w:w="3079" w:type="dxa"/>
            <w:vAlign w:val="center"/>
          </w:tcPr>
          <w:p w14:paraId="10A6AAE4">
            <w:pPr>
              <w:spacing w:after="0" w:line="240" w:lineRule="auto"/>
              <w:jc w:val="left"/>
            </w:pPr>
            <w:r>
              <w:t>执行清洗、对齐、特征构建、标准化</w:t>
            </w:r>
          </w:p>
        </w:tc>
        <w:tc>
          <w:tcPr>
            <w:tcW w:w="3079" w:type="dxa"/>
            <w:vAlign w:val="center"/>
          </w:tcPr>
          <w:p w14:paraId="1DBC15A6">
            <w:pPr>
              <w:spacing w:after="0" w:line="240" w:lineRule="auto"/>
              <w:jc w:val="left"/>
            </w:pPr>
            <w:r>
              <w:t>执行同训练阶段一致的特征处理流程</w:t>
            </w:r>
          </w:p>
        </w:tc>
      </w:tr>
      <w:tr w14:paraId="58C97A7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5567395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模型调用</w:t>
            </w:r>
          </w:p>
        </w:tc>
        <w:tc>
          <w:tcPr>
            <w:tcW w:w="3079" w:type="dxa"/>
            <w:vAlign w:val="center"/>
          </w:tcPr>
          <w:p w14:paraId="1A73A91A">
            <w:pPr>
              <w:spacing w:after="0" w:line="240" w:lineRule="auto"/>
              <w:jc w:val="left"/>
            </w:pPr>
            <w:r>
              <w:t>训练MSCIM/CMFBE模型并保存参数与配置</w:t>
            </w:r>
          </w:p>
        </w:tc>
        <w:tc>
          <w:tcPr>
            <w:tcW w:w="3079" w:type="dxa"/>
            <w:vAlign w:val="center"/>
          </w:tcPr>
          <w:p w14:paraId="3DCD672E">
            <w:pPr>
              <w:spacing w:after="0" w:line="240" w:lineRule="auto"/>
              <w:jc w:val="left"/>
            </w:pPr>
            <w:r>
              <w:t>加载指定版本模型权重并执行推理</w:t>
            </w:r>
          </w:p>
        </w:tc>
      </w:tr>
      <w:tr w14:paraId="0A4ECDB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B2020F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结果输出</w:t>
            </w:r>
          </w:p>
        </w:tc>
        <w:tc>
          <w:tcPr>
            <w:tcW w:w="3079" w:type="dxa"/>
            <w:vAlign w:val="center"/>
          </w:tcPr>
          <w:p w14:paraId="3F741075">
            <w:pPr>
              <w:spacing w:after="0" w:line="240" w:lineRule="auto"/>
              <w:jc w:val="left"/>
            </w:pPr>
            <w:r>
              <w:t>输出训练误差、验证误差、模型文件和评估报告</w:t>
            </w:r>
          </w:p>
        </w:tc>
        <w:tc>
          <w:tcPr>
            <w:tcW w:w="3079" w:type="dxa"/>
            <w:vAlign w:val="center"/>
          </w:tcPr>
          <w:p w14:paraId="386E0FA6">
            <w:pPr>
              <w:spacing w:after="0" w:line="240" w:lineRule="auto"/>
              <w:jc w:val="left"/>
            </w:pPr>
            <w:r>
              <w:t>输出预测值、对比图、场景分诊和诊断报告</w:t>
            </w:r>
          </w:p>
        </w:tc>
      </w:tr>
    </w:tbl>
    <w:p w14:paraId="63DC6160"/>
    <w:p w14:paraId="6A6AF821">
      <w:pPr>
        <w:pStyle w:val="4"/>
        <w:spacing w:before="120" w:after="120"/>
      </w:pPr>
      <w:r>
        <w:t>5.3 预测结果评估</w:t>
      </w:r>
    </w:p>
    <w:p w14:paraId="61C22974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系统支持将预测浊度值与实测浊度值进行对比，并生成误差评估指标。评估结果用于判断模型在不同站点、不同季节和不同水动力条件下的适用性。系统可对误差较大的时间段进行标记，并与致浊因子诊断模块联动，分析误差产生原因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36DC04E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0146B0F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评估指标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66139F4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03463A4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 w14:paraId="610A049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33A8FD5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MAE</w:t>
            </w:r>
          </w:p>
        </w:tc>
        <w:tc>
          <w:tcPr>
            <w:tcW w:w="3079" w:type="dxa"/>
            <w:vAlign w:val="center"/>
          </w:tcPr>
          <w:p w14:paraId="37963B7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平均绝对误差</w:t>
            </w:r>
          </w:p>
        </w:tc>
        <w:tc>
          <w:tcPr>
            <w:tcW w:w="3079" w:type="dxa"/>
            <w:vAlign w:val="center"/>
          </w:tcPr>
          <w:p w14:paraId="5EB8682E">
            <w:pPr>
              <w:spacing w:after="0" w:line="240" w:lineRule="auto"/>
              <w:jc w:val="left"/>
            </w:pPr>
            <w:r>
              <w:t>衡量预测值与实测值的平均偏差</w:t>
            </w:r>
          </w:p>
        </w:tc>
      </w:tr>
      <w:tr w14:paraId="7D42E5A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2B417A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RMSE</w:t>
            </w:r>
          </w:p>
        </w:tc>
        <w:tc>
          <w:tcPr>
            <w:tcW w:w="3079" w:type="dxa"/>
            <w:vAlign w:val="center"/>
          </w:tcPr>
          <w:p w14:paraId="7DF097E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均方根误差</w:t>
            </w:r>
          </w:p>
        </w:tc>
        <w:tc>
          <w:tcPr>
            <w:tcW w:w="3079" w:type="dxa"/>
            <w:vAlign w:val="center"/>
          </w:tcPr>
          <w:p w14:paraId="2346FF32">
            <w:pPr>
              <w:spacing w:after="0" w:line="240" w:lineRule="auto"/>
              <w:jc w:val="left"/>
            </w:pPr>
            <w:r>
              <w:t>对较大误差更敏感, 适合识别突变时段预测偏差</w:t>
            </w:r>
          </w:p>
        </w:tc>
      </w:tr>
      <w:tr w14:paraId="7D8158E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BE500B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R²</w:t>
            </w:r>
          </w:p>
        </w:tc>
        <w:tc>
          <w:tcPr>
            <w:tcW w:w="3079" w:type="dxa"/>
            <w:vAlign w:val="center"/>
          </w:tcPr>
          <w:p w14:paraId="43FAAFA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决定系数</w:t>
            </w:r>
          </w:p>
        </w:tc>
        <w:tc>
          <w:tcPr>
            <w:tcW w:w="3079" w:type="dxa"/>
            <w:vAlign w:val="center"/>
          </w:tcPr>
          <w:p w14:paraId="6EC4D399">
            <w:pPr>
              <w:spacing w:after="0" w:line="240" w:lineRule="auto"/>
              <w:jc w:val="left"/>
            </w:pPr>
            <w:r>
              <w:t>衡量模型对浊度/透明度变化的解释能力(当前MSCIM浊度R squared=0.7735)</w:t>
            </w:r>
          </w:p>
        </w:tc>
      </w:tr>
      <w:tr w14:paraId="11C168A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F0D9C7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MAPE</w:t>
            </w:r>
          </w:p>
        </w:tc>
        <w:tc>
          <w:tcPr>
            <w:tcW w:w="3079" w:type="dxa"/>
            <w:vAlign w:val="center"/>
          </w:tcPr>
          <w:p w14:paraId="094EACF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平均绝对百分比误差</w:t>
            </w:r>
          </w:p>
        </w:tc>
        <w:tc>
          <w:tcPr>
            <w:tcW w:w="3079" w:type="dxa"/>
            <w:vAlign w:val="center"/>
          </w:tcPr>
          <w:p w14:paraId="40554969">
            <w:pPr>
              <w:spacing w:after="0" w:line="240" w:lineRule="auto"/>
              <w:jc w:val="left"/>
            </w:pPr>
            <w:r>
              <w:t>用于比较不同站点或不同量级数据的相对误差</w:t>
            </w:r>
          </w:p>
        </w:tc>
      </w:tr>
    </w:tbl>
    <w:p w14:paraId="798D2142"/>
    <w:p w14:paraId="38970762">
      <w:pPr>
        <w:pStyle w:val="3"/>
        <w:spacing w:before="200" w:after="120"/>
      </w:pPr>
      <w:r>
        <w:t>6 软件操作说明</w:t>
      </w:r>
    </w:p>
    <w:p w14:paraId="40DFB7AC">
      <w:pPr>
        <w:pStyle w:val="4"/>
        <w:spacing w:before="120" w:after="120"/>
      </w:pPr>
      <w:r>
        <w:t>6.1 用户登录与权限管理</w:t>
      </w:r>
    </w:p>
    <w:p w14:paraId="1FFC90A2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用户打开系统登录页面后，输入账号和密码进入系统。系统根据用户角色分配不同功能权限。管理员可进行用户管理、数据源配置、模型管理和系统参数配置；普通分析人员可进行数据查询、预测任务创建和报告下载；访客用户仅可查看授权范围内的可视化结果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79F4D56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0CB1561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角色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27BC3DF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权限范围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3F177C1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 w14:paraId="392BC3A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5E5DD77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3079" w:type="dxa"/>
            <w:vAlign w:val="center"/>
          </w:tcPr>
          <w:p w14:paraId="67D97C68">
            <w:pPr>
              <w:spacing w:after="0" w:line="240" w:lineRule="auto"/>
              <w:jc w:val="left"/>
            </w:pPr>
            <w:r>
              <w:t>用户管理、系统配置、全部数据访问</w:t>
            </w:r>
          </w:p>
        </w:tc>
        <w:tc>
          <w:tcPr>
            <w:tcW w:w="3079" w:type="dxa"/>
            <w:vAlign w:val="center"/>
          </w:tcPr>
          <w:p w14:paraId="4A1016B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负责系统维护和权限分配</w:t>
            </w:r>
          </w:p>
        </w:tc>
      </w:tr>
      <w:tr w14:paraId="514E4B7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B8266A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分析人员</w:t>
            </w:r>
          </w:p>
        </w:tc>
        <w:tc>
          <w:tcPr>
            <w:tcW w:w="3079" w:type="dxa"/>
            <w:vAlign w:val="center"/>
          </w:tcPr>
          <w:p w14:paraId="6C29B067">
            <w:pPr>
              <w:spacing w:after="0" w:line="240" w:lineRule="auto"/>
              <w:jc w:val="left"/>
            </w:pPr>
            <w:r>
              <w:t>数据查询与上传、预测任务创建与管理、可视化分析、报告生成与导出</w:t>
            </w:r>
          </w:p>
        </w:tc>
        <w:tc>
          <w:tcPr>
            <w:tcW w:w="3079" w:type="dxa"/>
            <w:vAlign w:val="center"/>
          </w:tcPr>
          <w:p w14:paraId="61050C4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负责日常分析和预测模拟</w:t>
            </w:r>
          </w:p>
        </w:tc>
      </w:tr>
      <w:tr w14:paraId="5E44D00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3F4A0D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访客用户</w:t>
            </w:r>
          </w:p>
        </w:tc>
        <w:tc>
          <w:tcPr>
            <w:tcW w:w="3079" w:type="dxa"/>
            <w:vAlign w:val="center"/>
          </w:tcPr>
          <w:p w14:paraId="51E8CD72">
            <w:pPr>
              <w:spacing w:after="0" w:line="240" w:lineRule="auto"/>
              <w:jc w:val="left"/>
            </w:pPr>
            <w:r>
              <w:t>看板查看、部分数据查询、报告浏览</w:t>
            </w:r>
          </w:p>
        </w:tc>
        <w:tc>
          <w:tcPr>
            <w:tcW w:w="3079" w:type="dxa"/>
            <w:vAlign w:val="center"/>
          </w:tcPr>
          <w:p w14:paraId="4B72F82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用于结果展示和业务汇报</w:t>
            </w:r>
          </w:p>
        </w:tc>
      </w:tr>
    </w:tbl>
    <w:p w14:paraId="6646C62C"/>
    <w:p w14:paraId="748AFE2F">
      <w:pPr>
        <w:pStyle w:val="4"/>
        <w:spacing w:before="120" w:after="120"/>
      </w:pPr>
      <w:r>
        <w:t>6.2 数据管理操作</w:t>
      </w:r>
    </w:p>
    <w:p w14:paraId="30D36511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用户进入“数据管理”页面后，可选择数据类别并上传数据文件，系统自动识别字段并提示用户完成字段映射。字段映射完成后，用户点击“开始导入”，系统执行格式检查、重复记录检查、异常值识别和标准化处理。导入完成后，系统显</w:t>
      </w:r>
      <w:bookmarkStart w:id="0" w:name="_GoBack"/>
      <w:bookmarkEnd w:id="0"/>
      <w:r>
        <w:rPr>
          <w:rFonts w:ascii="Times New Roman" w:hAnsi="Times New Roman" w:eastAsia="宋体"/>
          <w:b w:val="0"/>
        </w:rPr>
        <w:t>示导入成功条数、失败条数和异常记录清单。对于已入库数据，用户可按站点、日期、指标和来源进行检索，也可查看单条记录详情。管理员可对错误数据进行标记、修正或删除，所有数据变更均写入操作日志。</w:t>
      </w:r>
    </w:p>
    <w:p w14:paraId="7512A435">
      <w:pPr>
        <w:pStyle w:val="4"/>
        <w:spacing w:before="120" w:after="120"/>
      </w:pPr>
      <w:r>
        <w:t>6.3 可视化查询操作</w:t>
      </w:r>
    </w:p>
    <w:p w14:paraId="17823950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用户进入“水质可视化”页面后，可在筛选区选择水域名称、站点名称、监测指标和时间范围。系统根据筛选条件返回数据，并在图表区域展示时间序列曲线、指标统计卡片和站点分布地图。用户可切换日尺度、小时尺度或自定义尺度，比较不同时间粒度下的水质变化趋势。当用户选择多个指标时，系统支持多轴图表展示，便于观察浊度与水温、降雨、流速、潮位等指标之间的同步变化。地图界面可通过颜色深浅表示不同浊度等级，帮助用户快速识别空间差异。</w:t>
      </w:r>
    </w:p>
    <w:p w14:paraId="146ED416">
      <w:pPr>
        <w:pStyle w:val="4"/>
        <w:spacing w:before="120" w:after="120"/>
      </w:pPr>
      <w:r>
        <w:t>6.4 浊度预测操作</w:t>
      </w:r>
    </w:p>
    <w:p w14:paraId="2BF3DD6B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用户进入“浊度预测”页面后，首先选择目标区域或监测站点，然后选择预测时间范围、预测步长和模型版本。系统自动读取对应时间范围内的多模态输入数据，并执行特征处理。点击“开始预测”后，系统生成预测任务，后台调用MSCIM模型完成计算。预测完成后，系统在结果页面展示预测浊度曲线、实测浊度曲线和误差曲线。用户可查看每个时间点的预测值、实测值和误差值，也可下载预测结果表格。</w:t>
      </w:r>
    </w:p>
    <w:p w14:paraId="5DA3B007">
      <w:pPr>
        <w:pStyle w:val="4"/>
        <w:spacing w:before="120" w:after="120"/>
      </w:pPr>
      <w:r>
        <w:t>6.5 诊断报告输出</w:t>
      </w:r>
    </w:p>
    <w:p w14:paraId="008684E9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用户在预测结果页面点击“因果诊断”后，系统读取该预测任务的输入因子、预测误差、历史相似过程和知识图谱关系，计算候选致浊因子的影响强度。系统最终输出因子排序、主导过程判断、时间段解释和建议关注指标。诊断报告主要包括目标区域和时间范围、浊度变化概况、主导致浊因子及影响强度、机制解释和管理建议。</w:t>
      </w:r>
    </w:p>
    <w:p w14:paraId="27540CC1">
      <w:pPr>
        <w:pStyle w:val="3"/>
        <w:spacing w:before="200" w:after="120"/>
      </w:pPr>
      <w:r>
        <w:t>7 系统安全与异常处理</w:t>
      </w:r>
    </w:p>
    <w:p w14:paraId="489399D5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系统在用户登录、数据导入、模型调用和报告下载等环节设置安全控制。登录环节采用账号密码验证和角色权限控制；数据导入环节检查文件格式、字段合法性和数据范围；模型调用环节记录任务参数、模型版本和运行状态；报告下载环节校验用户权限，防止未授权用户访问敏感数据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74444C4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178518C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异常类型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50F8A7E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处理方式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168BC56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提示信息</w:t>
            </w:r>
          </w:p>
        </w:tc>
      </w:tr>
      <w:tr w14:paraId="5374225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0D12DD2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文件格式错误</w:t>
            </w:r>
          </w:p>
        </w:tc>
        <w:tc>
          <w:tcPr>
            <w:tcW w:w="3079" w:type="dxa"/>
            <w:vAlign w:val="center"/>
          </w:tcPr>
          <w:p w14:paraId="6E15D597">
            <w:pPr>
              <w:spacing w:after="0" w:line="240" w:lineRule="auto"/>
              <w:jc w:val="left"/>
            </w:pPr>
            <w:r>
              <w:t>拒绝导入并提示支持的格式</w:t>
            </w:r>
          </w:p>
        </w:tc>
        <w:tc>
          <w:tcPr>
            <w:tcW w:w="3079" w:type="dxa"/>
            <w:vAlign w:val="center"/>
          </w:tcPr>
          <w:p w14:paraId="585A3735">
            <w:pPr>
              <w:spacing w:after="0" w:line="240" w:lineRule="auto"/>
              <w:jc w:val="left"/>
            </w:pPr>
            <w:r>
              <w:t>文件格式不符合要求, 请上传CSV或Excel文件</w:t>
            </w:r>
          </w:p>
        </w:tc>
      </w:tr>
      <w:tr w14:paraId="07DFAD1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2E5754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字段缺失</w:t>
            </w:r>
          </w:p>
        </w:tc>
        <w:tc>
          <w:tcPr>
            <w:tcW w:w="3079" w:type="dxa"/>
            <w:vAlign w:val="center"/>
          </w:tcPr>
          <w:p w14:paraId="4B609039">
            <w:pPr>
              <w:spacing w:after="0" w:line="240" w:lineRule="auto"/>
              <w:jc w:val="left"/>
            </w:pPr>
            <w:r>
              <w:t>中断导入并列出缺失字段</w:t>
            </w:r>
          </w:p>
        </w:tc>
        <w:tc>
          <w:tcPr>
            <w:tcW w:w="3079" w:type="dxa"/>
            <w:vAlign w:val="center"/>
          </w:tcPr>
          <w:p w14:paraId="74E62C90">
            <w:pPr>
              <w:spacing w:after="0" w:line="240" w:lineRule="auto"/>
              <w:jc w:val="left"/>
            </w:pPr>
            <w:r>
              <w:t>缺少站点编号、采样时间或浊度字段</w:t>
            </w:r>
          </w:p>
        </w:tc>
      </w:tr>
      <w:tr w14:paraId="46A52FB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D2A291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数据越界</w:t>
            </w:r>
          </w:p>
        </w:tc>
        <w:tc>
          <w:tcPr>
            <w:tcW w:w="3079" w:type="dxa"/>
            <w:vAlign w:val="center"/>
          </w:tcPr>
          <w:p w14:paraId="7C0E1EEE">
            <w:pPr>
              <w:spacing w:after="0" w:line="240" w:lineRule="auto"/>
              <w:jc w:val="left"/>
            </w:pPr>
            <w:r>
              <w:t>标记异常并写入异常记录表</w:t>
            </w:r>
          </w:p>
        </w:tc>
        <w:tc>
          <w:tcPr>
            <w:tcW w:w="3079" w:type="dxa"/>
            <w:vAlign w:val="center"/>
          </w:tcPr>
          <w:p w14:paraId="75404A06">
            <w:pPr>
              <w:spacing w:after="0" w:line="240" w:lineRule="auto"/>
              <w:jc w:val="left"/>
            </w:pPr>
            <w:r>
              <w:t>检测到异常值, 请确认数据来源</w:t>
            </w:r>
          </w:p>
        </w:tc>
      </w:tr>
      <w:tr w14:paraId="5AF740F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93262B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模型调用失败</w:t>
            </w:r>
          </w:p>
        </w:tc>
        <w:tc>
          <w:tcPr>
            <w:tcW w:w="3079" w:type="dxa"/>
            <w:vAlign w:val="center"/>
          </w:tcPr>
          <w:p w14:paraId="2F5C1201">
            <w:pPr>
              <w:spacing w:after="0" w:line="240" w:lineRule="auto"/>
              <w:jc w:val="left"/>
            </w:pPr>
            <w:r>
              <w:t>记录错误日志并允许重新运行</w:t>
            </w:r>
          </w:p>
        </w:tc>
        <w:tc>
          <w:tcPr>
            <w:tcW w:w="3079" w:type="dxa"/>
            <w:vAlign w:val="center"/>
          </w:tcPr>
          <w:p w14:paraId="2BE0BF33">
            <w:pPr>
              <w:spacing w:after="0" w:line="240" w:lineRule="auto"/>
              <w:jc w:val="left"/>
            </w:pPr>
            <w:r>
              <w:t>模型服务暂不可用, 请稍后重试或检查产物路径</w:t>
            </w:r>
          </w:p>
        </w:tc>
      </w:tr>
      <w:tr w14:paraId="70EB8AB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310A4A5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权限不足</w:t>
            </w:r>
          </w:p>
        </w:tc>
        <w:tc>
          <w:tcPr>
            <w:tcW w:w="3079" w:type="dxa"/>
            <w:vAlign w:val="center"/>
          </w:tcPr>
          <w:p w14:paraId="024911BE">
            <w:pPr>
              <w:spacing w:after="0" w:line="240" w:lineRule="auto"/>
              <w:jc w:val="left"/>
            </w:pPr>
            <w:r>
              <w:t>拒绝访问目标功能并返回401/403</w:t>
            </w:r>
          </w:p>
        </w:tc>
        <w:tc>
          <w:tcPr>
            <w:tcW w:w="3079" w:type="dxa"/>
            <w:vAlign w:val="center"/>
          </w:tcPr>
          <w:p w14:paraId="627EA648">
            <w:pPr>
              <w:spacing w:after="0" w:line="240" w:lineRule="auto"/>
              <w:jc w:val="left"/>
            </w:pPr>
            <w:r>
              <w:t>当前账号无权执行该操作</w:t>
            </w:r>
          </w:p>
        </w:tc>
      </w:tr>
    </w:tbl>
    <w:p w14:paraId="6B5C13ED"/>
    <w:p w14:paraId="6FCEA5E0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系统日志包括登录日志、导入日志、查询日志、预测任务日志、模型调用日志和报告生成日志。管理员可通过日志页面追踪系统运行状态，定位异常来源。</w:t>
      </w:r>
    </w:p>
    <w:p w14:paraId="624ED02C">
      <w:pPr>
        <w:pStyle w:val="3"/>
        <w:spacing w:before="200" w:after="120"/>
      </w:pPr>
      <w:r>
        <w:t>8 软件特点与应用价值</w:t>
      </w:r>
    </w:p>
    <w:p w14:paraId="6688003E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本软件的主要特点在于将多源异构数据管理、MSCIM浊度预测、可视化交互和致浊因子归因诊断整合到同一系统中。与单纯数据展示平台相比，本软件不仅展示历史数据，还能基于历史多模态数据模拟未来或指定时段的浊度变化；与单一预测模型相比，本软件进一步提供预测结果解释和致浊因子诊断，增强结果可理解性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00243F9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7547E01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特点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2D2ABB1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具体体现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5F93D72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应用价值</w:t>
            </w:r>
          </w:p>
        </w:tc>
      </w:tr>
      <w:tr w14:paraId="6135EF0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62F97C6">
            <w:pPr>
              <w:spacing w:after="0" w:line="240" w:lineRule="auto"/>
              <w:jc w:val="left"/>
            </w:pPr>
            <w:r>
              <w:t>多模态融合</w:t>
            </w:r>
          </w:p>
        </w:tc>
        <w:tc>
          <w:tcPr>
            <w:tcW w:w="3079" w:type="dxa"/>
            <w:vAlign w:val="center"/>
          </w:tcPr>
          <w:p w14:paraId="70CE9968">
            <w:pPr>
              <w:spacing w:after="0" w:line="240" w:lineRule="auto"/>
              <w:jc w:val="left"/>
            </w:pPr>
            <w:r>
              <w:t>融合水质、气象、水文和空间站点数据, 构建891天训练ready多模态记录</w:t>
            </w:r>
          </w:p>
        </w:tc>
        <w:tc>
          <w:tcPr>
            <w:tcW w:w="3079" w:type="dxa"/>
            <w:vAlign w:val="center"/>
          </w:tcPr>
          <w:p w14:paraId="23B43F63">
            <w:pPr>
              <w:spacing w:after="0" w:line="240" w:lineRule="auto"/>
              <w:jc w:val="left"/>
            </w:pPr>
            <w:r>
              <w:t>提高浊度预测和成因分析的数据基础完整性</w:t>
            </w:r>
          </w:p>
        </w:tc>
      </w:tr>
      <w:tr w14:paraId="40A47AE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5303BD0B">
            <w:pPr>
              <w:spacing w:after="0" w:line="240" w:lineRule="auto"/>
              <w:jc w:val="left"/>
            </w:pPr>
            <w:r>
              <w:t>多模型预测</w:t>
            </w:r>
          </w:p>
        </w:tc>
        <w:tc>
          <w:tcPr>
            <w:tcW w:w="3079" w:type="dxa"/>
            <w:vAlign w:val="center"/>
          </w:tcPr>
          <w:p w14:paraId="1A76D8AC">
            <w:pPr>
              <w:spacing w:after="0" w:line="240" w:lineRule="auto"/>
              <w:jc w:val="left"/>
            </w:pPr>
            <w:r>
              <w:t>MSCIM(R squared=0.7735)、MSCIM-NoKG(R squared=0.7644)、CMFBE-ST-GCN(R squared=0.7106)</w:t>
            </w:r>
          </w:p>
        </w:tc>
        <w:tc>
          <w:tcPr>
            <w:tcW w:w="3079" w:type="dxa"/>
            <w:vAlign w:val="center"/>
          </w:tcPr>
          <w:p w14:paraId="4F601122">
            <w:pPr>
              <w:spacing w:after="0" w:line="240" w:lineRule="auto"/>
              <w:jc w:val="left"/>
            </w:pPr>
            <w:r>
              <w:t>多模型对比增强预测可靠性; CMFBE提供机制可解释性</w:t>
            </w:r>
          </w:p>
        </w:tc>
      </w:tr>
      <w:tr w14:paraId="1007AFC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37A6E1C4">
            <w:pPr>
              <w:spacing w:after="0" w:line="240" w:lineRule="auto"/>
              <w:jc w:val="left"/>
            </w:pPr>
            <w:r>
              <w:t>交互可视化</w:t>
            </w:r>
          </w:p>
        </w:tc>
        <w:tc>
          <w:tcPr>
            <w:tcW w:w="3079" w:type="dxa"/>
            <w:vAlign w:val="center"/>
          </w:tcPr>
          <w:p w14:paraId="0164ADB1">
            <w:pPr>
              <w:spacing w:after="0" w:line="240" w:lineRule="auto"/>
              <w:jc w:val="left"/>
            </w:pPr>
            <w:r>
              <w:t>提供SVG时序图、预测对比图、场景分诊面板和诊断看板</w:t>
            </w:r>
          </w:p>
        </w:tc>
        <w:tc>
          <w:tcPr>
            <w:tcW w:w="3079" w:type="dxa"/>
            <w:vAlign w:val="center"/>
          </w:tcPr>
          <w:p w14:paraId="0AA482F9">
            <w:pPr>
              <w:spacing w:after="0" w:line="240" w:lineRule="auto"/>
              <w:jc w:val="left"/>
            </w:pPr>
            <w:r>
              <w:t>降低数据分析门槛, 提高业务使用效率</w:t>
            </w:r>
          </w:p>
        </w:tc>
      </w:tr>
      <w:tr w14:paraId="348DA10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161C64C">
            <w:pPr>
              <w:spacing w:after="0" w:line="240" w:lineRule="auto"/>
              <w:jc w:val="left"/>
            </w:pPr>
            <w:r>
              <w:t>因果归因</w:t>
            </w:r>
          </w:p>
        </w:tc>
        <w:tc>
          <w:tcPr>
            <w:tcW w:w="3079" w:type="dxa"/>
            <w:vAlign w:val="center"/>
          </w:tcPr>
          <w:p w14:paraId="6F8B4301">
            <w:pPr>
              <w:spacing w:after="0" w:line="240" w:lineRule="auto"/>
              <w:jc w:val="left"/>
            </w:pPr>
            <w:r>
              <w:t>结合Sobol敏感性分析、场景分诊和知识图谱识别主导致浊因子</w:t>
            </w:r>
          </w:p>
        </w:tc>
        <w:tc>
          <w:tcPr>
            <w:tcW w:w="3079" w:type="dxa"/>
            <w:vAlign w:val="center"/>
          </w:tcPr>
          <w:p w14:paraId="3C268EA6">
            <w:pPr>
              <w:spacing w:after="0" w:line="240" w:lineRule="auto"/>
              <w:jc w:val="left"/>
            </w:pPr>
            <w:r>
              <w:t>帮助解释浑浊机制, 为管理决策提供依据</w:t>
            </w:r>
          </w:p>
        </w:tc>
      </w:tr>
      <w:tr w14:paraId="7878E04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3EFDC82F">
            <w:pPr>
              <w:spacing w:after="0" w:line="240" w:lineRule="auto"/>
              <w:jc w:val="left"/>
            </w:pPr>
            <w:r>
              <w:t>报告输出</w:t>
            </w:r>
          </w:p>
        </w:tc>
        <w:tc>
          <w:tcPr>
            <w:tcW w:w="3079" w:type="dxa"/>
            <w:vAlign w:val="center"/>
          </w:tcPr>
          <w:p w14:paraId="7559130F">
            <w:pPr>
              <w:spacing w:after="0" w:line="240" w:lineRule="auto"/>
              <w:jc w:val="left"/>
            </w:pPr>
            <w:r>
              <w:t>支持HTML/Markdown/JSON/PDF多格式综合报告自动生成</w:t>
            </w:r>
          </w:p>
        </w:tc>
        <w:tc>
          <w:tcPr>
            <w:tcW w:w="3079" w:type="dxa"/>
            <w:vAlign w:val="center"/>
          </w:tcPr>
          <w:p w14:paraId="558BC464">
            <w:pPr>
              <w:spacing w:after="0" w:line="240" w:lineRule="auto"/>
              <w:jc w:val="left"/>
            </w:pPr>
            <w:r>
              <w:t>便于科研记录、业务汇报和成果归档</w:t>
            </w:r>
          </w:p>
        </w:tc>
      </w:tr>
    </w:tbl>
    <w:p w14:paraId="2B123059"/>
    <w:p w14:paraId="68B4562C">
      <w:pPr>
        <w:pStyle w:val="3"/>
        <w:spacing w:before="200" w:after="120"/>
      </w:pPr>
      <w:r>
        <w:t>9 软著登记信息建议</w:t>
      </w:r>
    </w:p>
    <w:p w14:paraId="4AF59946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以下内容可作为软件著作权登记申请表填写时的参考，最终信息应以实际开发单位、开发人员、完成时间和源程序为准。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8"/>
        <w:gridCol w:w="4618"/>
      </w:tblGrid>
      <w:tr w14:paraId="0B0EC3D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7C9FEC14">
            <w:pPr>
              <w:spacing w:after="0" w:line="240" w:lineRule="auto"/>
              <w:jc w:val="center"/>
            </w:pPr>
            <w:r>
              <w:t>软件全称</w:t>
            </w:r>
          </w:p>
        </w:tc>
        <w:tc>
          <w:tcPr>
            <w:tcW w:w="4618" w:type="dxa"/>
            <w:vAlign w:val="center"/>
          </w:tcPr>
          <w:p w14:paraId="1BB5E280">
            <w:pPr>
              <w:spacing w:after="0" w:line="240" w:lineRule="auto"/>
              <w:jc w:val="left"/>
            </w:pPr>
            <w:r>
              <w:t>基于多源水质数据融合的水体透明度预测系统</w:t>
            </w:r>
          </w:p>
        </w:tc>
      </w:tr>
      <w:tr w14:paraId="5491070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3571A567">
            <w:pPr>
              <w:spacing w:after="0" w:line="240" w:lineRule="auto"/>
              <w:jc w:val="center"/>
            </w:pPr>
            <w:r>
              <w:t>软件简称</w:t>
            </w:r>
          </w:p>
        </w:tc>
        <w:tc>
          <w:tcPr>
            <w:tcW w:w="4618" w:type="dxa"/>
            <w:vAlign w:val="center"/>
          </w:tcPr>
          <w:p w14:paraId="3AE72D81">
            <w:pPr>
              <w:spacing w:after="0" w:line="240" w:lineRule="auto"/>
              <w:jc w:val="left"/>
            </w:pPr>
            <w:r>
              <w:t>水体透明度预测系统</w:t>
            </w:r>
          </w:p>
        </w:tc>
      </w:tr>
      <w:tr w14:paraId="4BB1AFE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3827950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版本号</w:t>
            </w:r>
          </w:p>
        </w:tc>
        <w:tc>
          <w:tcPr>
            <w:tcW w:w="4618" w:type="dxa"/>
            <w:vAlign w:val="center"/>
          </w:tcPr>
          <w:p w14:paraId="01912D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V1.0</w:t>
            </w:r>
          </w:p>
        </w:tc>
      </w:tr>
      <w:tr w14:paraId="3763042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423112C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软件分类</w:t>
            </w:r>
          </w:p>
        </w:tc>
        <w:tc>
          <w:tcPr>
            <w:tcW w:w="4618" w:type="dxa"/>
            <w:vAlign w:val="center"/>
          </w:tcPr>
          <w:p w14:paraId="75B556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行业应用软件/数据处理软件/智能预测分析软件</w:t>
            </w:r>
          </w:p>
        </w:tc>
      </w:tr>
      <w:tr w14:paraId="40CE3C8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4B645B4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开发方式</w:t>
            </w:r>
          </w:p>
        </w:tc>
        <w:tc>
          <w:tcPr>
            <w:tcW w:w="4618" w:type="dxa"/>
            <w:vAlign w:val="center"/>
          </w:tcPr>
          <w:p w14:paraId="3008810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原始取得</w:t>
            </w:r>
          </w:p>
        </w:tc>
      </w:tr>
      <w:tr w14:paraId="6FA0186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6CCCA0BE">
            <w:pPr>
              <w:spacing w:after="0" w:line="240" w:lineRule="auto"/>
              <w:jc w:val="center"/>
            </w:pPr>
            <w:r>
              <w:t>主要功能</w:t>
            </w:r>
          </w:p>
        </w:tc>
        <w:tc>
          <w:tcPr>
            <w:tcW w:w="4618" w:type="dxa"/>
            <w:vAlign w:val="center"/>
          </w:tcPr>
          <w:p w14:paraId="0F6323B3">
            <w:pPr>
              <w:spacing w:after="0" w:line="240" w:lineRule="auto"/>
              <w:jc w:val="left"/>
            </w:pPr>
            <w:r>
              <w:t>多源水环境数据融合管理、水质可视化交互、浊度/透明度动态预测模拟、致浊因子因果诊断与归因分析、场景分诊与响应建议</w:t>
            </w:r>
          </w:p>
        </w:tc>
      </w:tr>
      <w:tr w14:paraId="7B44F1F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59342D7F">
            <w:pPr>
              <w:spacing w:after="0" w:line="240" w:lineRule="auto"/>
              <w:jc w:val="center"/>
            </w:pPr>
            <w:r>
              <w:t>技术特点</w:t>
            </w:r>
          </w:p>
        </w:tc>
        <w:tc>
          <w:tcPr>
            <w:tcW w:w="4618" w:type="dxa"/>
            <w:vAlign w:val="center"/>
          </w:tcPr>
          <w:p w14:paraId="163248A6">
            <w:pPr>
              <w:spacing w:after="0" w:line="240" w:lineRule="auto"/>
              <w:jc w:val="left"/>
            </w:pPr>
            <w:r>
              <w:t>多模态数据融合、MSCIM+CMFBE-ST-GCN双模型预测、知识图谱辅助归因、Sobol灵敏度分析、场景分诊分类、多格式报告输出</w:t>
            </w:r>
          </w:p>
        </w:tc>
      </w:tr>
      <w:tr w14:paraId="2547953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2E9BC098">
            <w:pPr>
              <w:spacing w:after="0" w:line="240" w:lineRule="auto"/>
              <w:jc w:val="center"/>
            </w:pPr>
            <w:r>
              <w:t>运行环境</w:t>
            </w:r>
          </w:p>
        </w:tc>
        <w:tc>
          <w:tcPr>
            <w:tcW w:w="4618" w:type="dxa"/>
            <w:vAlign w:val="center"/>
          </w:tcPr>
          <w:p w14:paraId="2DFE622E">
            <w:pPr>
              <w:spacing w:after="0" w:line="240" w:lineRule="auto"/>
              <w:jc w:val="left"/>
            </w:pPr>
            <w:r>
              <w:t>Windows/Linux服务器, Python 3.12+, Chrome/Edge浏览器, SQLite数据管理</w:t>
            </w:r>
          </w:p>
        </w:tc>
      </w:tr>
    </w:tbl>
    <w:p w14:paraId="0B9C1BCB"/>
    <w:p w14:paraId="479E72CE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申请软著时，除本说明书外，通常还需要提交软件源程序文档。源程序文档应与软件名称、版本号和说明书功能保持一致，建议从真实项目代码中截取前后连续部分，避免仅用伪代码替代实际源程序。</w:t>
      </w:r>
    </w:p>
    <w:p w14:paraId="48D9B3EB">
      <w:pPr>
        <w:pStyle w:val="3"/>
        <w:spacing w:before="200" w:after="120"/>
      </w:pPr>
      <w:r>
        <w:t>附录A 软件主要界面说明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4F1F315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2D87DE7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界面名称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5011DDC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主要元素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7F99F3C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功能说明</w:t>
            </w:r>
          </w:p>
        </w:tc>
      </w:tr>
      <w:tr w14:paraId="245E42E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E56A4B8">
            <w:pPr>
              <w:spacing w:after="0" w:line="240" w:lineRule="auto"/>
              <w:jc w:val="left"/>
            </w:pPr>
            <w:r>
              <w:t>登录界面</w:t>
            </w:r>
          </w:p>
        </w:tc>
        <w:tc>
          <w:tcPr>
            <w:tcW w:w="3079" w:type="dxa"/>
            <w:vAlign w:val="center"/>
          </w:tcPr>
          <w:p w14:paraId="617FC49A">
            <w:pPr>
              <w:spacing w:after="0" w:line="240" w:lineRule="auto"/>
              <w:jc w:val="left"/>
            </w:pPr>
            <w:r>
              <w:t>系统标题、账号密码输入、一键填入演示账号、主题切换</w:t>
            </w:r>
          </w:p>
        </w:tc>
        <w:tc>
          <w:tcPr>
            <w:tcW w:w="3079" w:type="dxa"/>
            <w:vAlign w:val="center"/>
          </w:tcPr>
          <w:p w14:paraId="4C5EAE95">
            <w:pPr>
              <w:spacing w:after="0" w:line="240" w:lineRule="auto"/>
              <w:jc w:val="left"/>
            </w:pPr>
            <w:r>
              <w:t>完成用户身份验证并进入系统</w:t>
            </w:r>
          </w:p>
        </w:tc>
      </w:tr>
      <w:tr w14:paraId="54E6E08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0E97BD3C">
            <w:pPr>
              <w:spacing w:after="0" w:line="240" w:lineRule="auto"/>
              <w:jc w:val="left"/>
            </w:pPr>
            <w:r>
              <w:t>系统总览(首页)</w:t>
            </w:r>
          </w:p>
        </w:tc>
        <w:tc>
          <w:tcPr>
            <w:tcW w:w="3079" w:type="dxa"/>
            <w:vAlign w:val="center"/>
          </w:tcPr>
          <w:p w14:paraId="19DC48B9">
            <w:pPr>
              <w:spacing w:after="0" w:line="240" w:lineRule="auto"/>
              <w:jc w:val="left"/>
            </w:pPr>
            <w:r>
              <w:t>站点统计、模型性能卡片(R squared)、模型对比表、高优先级事件列表、侧栏导航</w:t>
            </w:r>
          </w:p>
        </w:tc>
        <w:tc>
          <w:tcPr>
            <w:tcW w:w="3079" w:type="dxa"/>
            <w:vAlign w:val="center"/>
          </w:tcPr>
          <w:p w14:paraId="4BE07601">
            <w:pPr>
              <w:spacing w:after="0" w:line="240" w:lineRule="auto"/>
              <w:jc w:val="left"/>
            </w:pPr>
            <w:r>
              <w:t>展示系统总体运行状态和水质概况</w:t>
            </w:r>
          </w:p>
        </w:tc>
      </w:tr>
      <w:tr w14:paraId="1D82BA0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083E6639">
            <w:pPr>
              <w:spacing w:after="0" w:line="240" w:lineRule="auto"/>
              <w:jc w:val="left"/>
            </w:pPr>
            <w:r>
              <w:t>水质综合数据库</w:t>
            </w:r>
          </w:p>
        </w:tc>
        <w:tc>
          <w:tcPr>
            <w:tcW w:w="3079" w:type="dxa"/>
            <w:vAlign w:val="center"/>
          </w:tcPr>
          <w:p w14:paraId="4D89BB39">
            <w:pPr>
              <w:spacing w:after="0" w:line="240" w:lineRule="auto"/>
              <w:jc w:val="left"/>
            </w:pPr>
            <w:r>
              <w:t>站点选择、关键词搜索、日期范围筛选、数据分页表格、数据库统计摘要</w:t>
            </w:r>
          </w:p>
        </w:tc>
        <w:tc>
          <w:tcPr>
            <w:tcW w:w="3079" w:type="dxa"/>
            <w:vAlign w:val="center"/>
          </w:tcPr>
          <w:p w14:paraId="3C73EAB2">
            <w:pPr>
              <w:spacing w:after="0" w:line="240" w:lineRule="auto"/>
              <w:jc w:val="left"/>
            </w:pPr>
            <w:r>
              <w:t>完成多站点水质数据的交互查询与浏览</w:t>
            </w:r>
          </w:p>
        </w:tc>
      </w:tr>
      <w:tr w14:paraId="1E45400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669E14B6">
            <w:pPr>
              <w:spacing w:after="0" w:line="240" w:lineRule="auto"/>
              <w:jc w:val="left"/>
            </w:pPr>
            <w:r>
              <w:t>数据上传界面</w:t>
            </w:r>
          </w:p>
        </w:tc>
        <w:tc>
          <w:tcPr>
            <w:tcW w:w="3079" w:type="dxa"/>
            <w:vAlign w:val="center"/>
          </w:tcPr>
          <w:p w14:paraId="1D11192A">
            <w:pPr>
              <w:spacing w:after="0" w:line="240" w:lineRule="auto"/>
              <w:jc w:val="left"/>
            </w:pPr>
            <w:r>
              <w:t>数据类型选择、站点选择、多文件上传、上传进度条、已导入记录表</w:t>
            </w:r>
          </w:p>
        </w:tc>
        <w:tc>
          <w:tcPr>
            <w:tcW w:w="3079" w:type="dxa"/>
            <w:vAlign w:val="center"/>
          </w:tcPr>
          <w:p w14:paraId="3530D9AA">
            <w:pPr>
              <w:spacing w:after="0" w:line="240" w:lineRule="auto"/>
              <w:jc w:val="left"/>
            </w:pPr>
            <w:r>
              <w:t>完成多源数据文件上传和导入管理</w:t>
            </w:r>
          </w:p>
        </w:tc>
      </w:tr>
      <w:tr w14:paraId="65E6E0C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47934238">
            <w:pPr>
              <w:spacing w:after="0" w:line="240" w:lineRule="auto"/>
              <w:jc w:val="left"/>
            </w:pPr>
            <w:r>
              <w:t>数据预处理界面</w:t>
            </w:r>
          </w:p>
        </w:tc>
        <w:tc>
          <w:tcPr>
            <w:tcW w:w="3079" w:type="dxa"/>
            <w:vAlign w:val="center"/>
          </w:tcPr>
          <w:p w14:paraId="6882E6B4">
            <w:pPr>
              <w:spacing w:after="0" w:line="240" w:lineRule="auto"/>
              <w:jc w:val="left"/>
            </w:pPr>
            <w:r>
              <w:t>站点选择、预处理状态摘要、数据可用性统计、预处理日志</w:t>
            </w:r>
          </w:p>
        </w:tc>
        <w:tc>
          <w:tcPr>
            <w:tcW w:w="3079" w:type="dxa"/>
            <w:vAlign w:val="center"/>
          </w:tcPr>
          <w:p w14:paraId="32808541">
            <w:pPr>
              <w:spacing w:after="0" w:line="240" w:lineRule="auto"/>
              <w:jc w:val="left"/>
            </w:pPr>
            <w:r>
              <w:t>查看数据预处理结果和数据质量概况</w:t>
            </w:r>
          </w:p>
        </w:tc>
      </w:tr>
      <w:tr w14:paraId="2CFF3B8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5124F5BD">
            <w:pPr>
              <w:spacing w:after="0" w:line="240" w:lineRule="auto"/>
              <w:jc w:val="left"/>
            </w:pPr>
            <w:r>
              <w:t>数据可视化界面</w:t>
            </w:r>
          </w:p>
        </w:tc>
        <w:tc>
          <w:tcPr>
            <w:tcW w:w="3079" w:type="dxa"/>
            <w:vAlign w:val="center"/>
          </w:tcPr>
          <w:p w14:paraId="279DC797">
            <w:pPr>
              <w:spacing w:after="0" w:line="240" w:lineRule="auto"/>
              <w:jc w:val="left"/>
            </w:pPr>
            <w:r>
              <w:t>站点选择、指标选择(浊度/透明度)、数据量滑块、SVG时序曲线图</w:t>
            </w:r>
          </w:p>
        </w:tc>
        <w:tc>
          <w:tcPr>
            <w:tcW w:w="3079" w:type="dxa"/>
            <w:vAlign w:val="center"/>
          </w:tcPr>
          <w:p w14:paraId="471C5072">
            <w:pPr>
              <w:spacing w:after="0" w:line="240" w:lineRule="auto"/>
              <w:jc w:val="left"/>
            </w:pPr>
            <w:r>
              <w:t>展示浊度/透明度指标的时间序列变化趋势</w:t>
            </w:r>
          </w:p>
        </w:tc>
      </w:tr>
      <w:tr w14:paraId="669CB86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34DE6024">
            <w:pPr>
              <w:spacing w:after="0" w:line="240" w:lineRule="auto"/>
              <w:jc w:val="left"/>
            </w:pPr>
            <w:r>
              <w:t>预测与诊断界面</w:t>
            </w:r>
          </w:p>
        </w:tc>
        <w:tc>
          <w:tcPr>
            <w:tcW w:w="3079" w:type="dxa"/>
            <w:vAlign w:val="center"/>
          </w:tcPr>
          <w:p w14:paraId="341B37FA">
            <w:pPr>
              <w:spacing w:after="0" w:line="240" w:lineRule="auto"/>
              <w:jc w:val="left"/>
            </w:pPr>
            <w:r>
              <w:t>预测曲线图(含风险色带)、创建任务表单、任务列表、模型选择、诊断Tab(诊断结论/阈值与边界/分诊与行动)、主导因子图、场景分诊面板、敏感性概览</w:t>
            </w:r>
          </w:p>
        </w:tc>
        <w:tc>
          <w:tcPr>
            <w:tcW w:w="3079" w:type="dxa"/>
            <w:vAlign w:val="center"/>
          </w:tcPr>
          <w:p w14:paraId="02A1BA22">
            <w:pPr>
              <w:spacing w:after="0" w:line="240" w:lineRule="auto"/>
              <w:jc w:val="left"/>
            </w:pPr>
            <w:r>
              <w:t>配置预测任务、查看预测-实测对比、浏览致浊因子诊断和场景分诊结果</w:t>
            </w:r>
          </w:p>
        </w:tc>
      </w:tr>
    </w:tbl>
    <w:p w14:paraId="4595C01F"/>
    <w:p w14:paraId="1E54DBA2">
      <w:pPr>
        <w:pStyle w:val="3"/>
        <w:spacing w:before="200" w:after="120"/>
      </w:pPr>
      <w:r>
        <w:t>附录B 源程序目录结构建议</w:t>
      </w:r>
    </w:p>
    <w:p w14:paraId="350CA178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以下目录结构用于指导源程序整理，具体文件名称应以实际开发代码为准。软著提交时，源程序应体现软件的核心功能模块，包括数据接入、清洗、模型预测、可视化接口、因果诊断和报告生成等内容。</w:t>
      </w:r>
    </w:p>
    <w:p w14:paraId="7DCB4275">
      <w:pPr>
        <w:spacing w:line="240" w:lineRule="auto"/>
        <w:ind w:left="113"/>
      </w:pPr>
      <w:r>
        <w:rPr>
          <w:rFonts w:ascii="Courier New" w:hAnsi="Courier New" w:eastAsia="宋体"/>
          <w:sz w:val="17"/>
        </w:rPr>
        <w:t>turbidity_prediction_system/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├── app.py                          # 系统启动入口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├── config/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database_config.py           # 数据库连接配置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└── model_config.py              # MSCIM模型参数配置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├── data/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data_importer.py             # 多源数据接入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data_cleaner.py              # 数据清洗与异常值处理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data_standardizer.py         # 字段映射与单位标准化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└── data_storage.py              # 数据入库与查询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├── model/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mscim_model.py               # MSCIM浊度预测模型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feature_builder.py           # 多模态特征构建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model_trainer.py             # 模型训练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└── model_predictor.py           # 模型预测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├── diagnosis/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causal_analyzer.py           # 因果推断分析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knowledge_graph.py           # 致浊因子知识图谱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└── attribution_report.py        # 归因诊断报告生成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├── visualization/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dashboard_api.py             # 可视化看板接口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chart_service.py             # 时间序列图表服务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└── map_service.py               # 站点空间分布服务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├── user/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├── auth_service.py              # 用户登录认证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│   └── permission_service.py        # 角色权限管理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>└── report/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 xml:space="preserve">    ├── prediction_report.py         # 预测对比报告</w:t>
      </w:r>
      <w:r>
        <w:rPr>
          <w:rFonts w:ascii="Courier New" w:hAnsi="Courier New" w:eastAsia="宋体"/>
          <w:sz w:val="17"/>
        </w:rPr>
        <w:br w:type="textWrapping"/>
      </w:r>
      <w:r>
        <w:rPr>
          <w:rFonts w:ascii="Courier New" w:hAnsi="Courier New" w:eastAsia="宋体"/>
          <w:sz w:val="17"/>
        </w:rPr>
        <w:t xml:space="preserve">    └── export_service.py            # Word/PDF/Excel导出服务</w:t>
      </w:r>
      <w:r>
        <w:rPr>
          <w:rFonts w:ascii="Courier New" w:hAnsi="Courier New" w:eastAsia="宋体"/>
          <w:sz w:val="17"/>
        </w:rPr>
        <w:br w:type="textWrapping"/>
      </w:r>
    </w:p>
    <w:p w14:paraId="0CB4FD5E">
      <w:pPr>
        <w:spacing w:after="80" w:line="360" w:lineRule="auto"/>
        <w:ind w:firstLine="420"/>
      </w:pPr>
      <w:r>
        <w:rPr>
          <w:rFonts w:ascii="Times New Roman" w:hAnsi="Times New Roman" w:eastAsia="宋体"/>
          <w:b w:val="0"/>
        </w:rPr>
        <w:t>源程序整理时，建议确保模块命名与说明书中的四个核心功能对应：数据融合与管理模块、可视化与交互模块、浊度预测与模拟模块、致浊因子诊断与归因模块。这样能够增强软件说明书、申请表和源程序之间的一致性。</w:t>
      </w:r>
    </w:p>
    <w:p w14:paraId="6738557B">
      <w:pPr>
        <w:pStyle w:val="3"/>
        <w:spacing w:before="200" w:after="120"/>
      </w:pPr>
      <w:r>
        <w:t>附录C 版本更新记录</w:t>
      </w:r>
    </w:p>
    <w:tbl>
      <w:tblPr>
        <w:tblStyle w:val="3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3079"/>
        <w:gridCol w:w="3079"/>
      </w:tblGrid>
      <w:tr w14:paraId="229A23B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016B362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版本号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392AEE6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日期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784DA1A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更新内容</w:t>
            </w:r>
          </w:p>
        </w:tc>
      </w:tr>
      <w:tr w14:paraId="3F34BC6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79" w:type="dxa"/>
            <w:vAlign w:val="center"/>
          </w:tcPr>
          <w:p w14:paraId="1AFA888F">
            <w:pPr>
              <w:spacing w:after="0" w:line="240" w:lineRule="auto"/>
              <w:jc w:val="left"/>
            </w:pPr>
            <w:r>
              <w:t>V1.0</w:t>
            </w:r>
          </w:p>
        </w:tc>
        <w:tc>
          <w:tcPr>
            <w:tcW w:w="3079" w:type="dxa"/>
            <w:vAlign w:val="center"/>
          </w:tcPr>
          <w:p w14:paraId="15897514">
            <w:pPr>
              <w:spacing w:after="0" w:line="240" w:lineRule="auto"/>
              <w:jc w:val="left"/>
            </w:pPr>
            <w:r>
              <w:t>2026年7月</w:t>
            </w:r>
          </w:p>
        </w:tc>
        <w:tc>
          <w:tcPr>
            <w:tcW w:w="3079" w:type="dxa"/>
            <w:vAlign w:val="center"/>
          </w:tcPr>
          <w:p w14:paraId="53B1705B">
            <w:pPr>
              <w:spacing w:after="0" w:line="240" w:lineRule="auto"/>
              <w:jc w:val="left"/>
            </w:pPr>
            <w:r>
              <w:t>完成多源数据融合管理、水质可视化交互、MSCIM+CMFBE-ST-GCN浊度与透明度预测、预测-实测对比、致浊因子归因诊断、场景分诊分类、响应建议生成、知识图谱辅助推理、Sobol灵敏度分析和多格式报告导出等完整功能。默认站点为吴淞口2586, 匹配宝山气象站、松浦大桥和黄渡水文参考站。</w:t>
            </w:r>
          </w:p>
        </w:tc>
      </w:tr>
    </w:tbl>
    <w:p w14:paraId="4373323E"/>
    <w:sectPr>
      <w:headerReference r:id="rId5" w:type="default"/>
      <w:footerReference r:id="rId6" w:type="default"/>
      <w:pgSz w:w="12240" w:h="15840"/>
      <w:pgMar w:top="1417" w:right="1417" w:bottom="1304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531375">
    <w:pPr>
      <w:pStyle w:val="24"/>
      <w:jc w:val="center"/>
    </w:pPr>
    <w:r>
      <w:rPr>
        <w:rFonts w:ascii="Times New Roman" w:hAnsi="Times New Roman" w:eastAsia="宋体"/>
        <w:sz w:val="18"/>
      </w:rPr>
      <w:t>软件著作权登记材料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7C0A6D">
    <w:pPr>
      <w:pStyle w:val="25"/>
      <w:jc w:val="right"/>
    </w:pPr>
    <w:r>
      <w:rPr>
        <w:rFonts w:ascii="Times New Roman" w:hAnsi="Times New Roman" w:eastAsia="宋体"/>
        <w:sz w:val="18"/>
      </w:rPr>
      <w:t>基于多模态数据融合的水体浊度预测系统V1.0  软件说明书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D37A53"/>
    <w:rsid w:val="59DF7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3470</Words>
  <Characters>3615</Characters>
  <Lines>0</Lines>
  <Paragraphs>0</Paragraphs>
  <TotalTime>7</TotalTime>
  <ScaleCrop>false</ScaleCrop>
  <LinksUpToDate>false</LinksUpToDate>
  <CharactersWithSpaces>3678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陈鲲鹏</cp:lastModifiedBy>
  <dcterms:modified xsi:type="dcterms:W3CDTF">2026-07-02T13:38:24Z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8979A2E4CBA6409280F0E08B42E71BC6_13</vt:lpwstr>
  </property>
</Properties>
</file>