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line="276" w:lineRule="auto"/>
        <w:jc w:val="center"/>
      </w:pPr>
      <w:r>
        <w:rPr>
          <w:rFonts w:ascii="Calibri" w:hAnsi="Calibri"/>
          <w:b/>
          <w:sz w:val="52"/>
        </w:rPr>
        <w:t>NLP-Driven Reinforcement Learning</w:t>
        <w:br/>
        <w:t>Trading Platform</w:t>
      </w:r>
    </w:p>
    <w:p/>
    <w:p>
      <w:pPr>
        <w:spacing w:after="120" w:line="276" w:lineRule="auto"/>
        <w:jc w:val="center"/>
      </w:pPr>
      <w:r>
        <w:rPr>
          <w:rFonts w:ascii="Calibri" w:hAnsi="Calibri"/>
          <w:b w:val="0"/>
          <w:sz w:val="28"/>
        </w:rPr>
        <w:t>A Modular Intelligent Trading System Integrating</w:t>
        <w:br/>
        <w:t>FinBERT Sentiment Analysis with Deep Q-Network</w:t>
        <w:br/>
        <w:t>Reinforcement Learning</w:t>
      </w:r>
    </w:p>
    <w:p/>
    <w:p>
      <w:pPr>
        <w:spacing w:after="120" w:line="276" w:lineRule="auto"/>
        <w:jc w:val="center"/>
      </w:pPr>
      <w:r>
        <w:rPr>
          <w:rFonts w:ascii="Calibri" w:hAnsi="Calibri"/>
          <w:b/>
          <w:sz w:val="26"/>
        </w:rPr>
        <w:t>Fintech | BA3098</w:t>
      </w:r>
    </w:p>
    <w:p>
      <w:pPr>
        <w:spacing w:after="120" w:line="276" w:lineRule="auto"/>
        <w:jc w:val="center"/>
      </w:pPr>
      <w:r>
        <w:rPr>
          <w:rFonts w:ascii="Calibri" w:hAnsi="Calibri"/>
          <w:b w:val="0"/>
          <w:sz w:val="24"/>
        </w:rPr>
        <w:t>Dr. Peimin Chen, BNBU</w:t>
      </w:r>
    </w:p>
    <w:p>
      <w:pPr>
        <w:spacing w:after="120" w:line="276" w:lineRule="auto"/>
        <w:jc w:val="center"/>
      </w:pPr>
      <w:r>
        <w:rPr>
          <w:rFonts w:ascii="Calibri" w:hAnsi="Calibri"/>
          <w:b w:val="0"/>
          <w:sz w:val="22"/>
        </w:rPr>
        <w:t>Week 14, Semester 2, 2025-2026</w:t>
      </w:r>
    </w:p>
    <w:p>
      <w:pPr>
        <w:spacing w:after="120" w:line="276" w:lineRule="auto"/>
        <w:jc w:val="center"/>
      </w:pPr>
      <w:r>
        <w:rPr>
          <w:rFonts w:ascii="Calibri" w:hAnsi="Calibri"/>
          <w:b w:val="0"/>
          <w:sz w:val="22"/>
        </w:rPr>
        <w:t>Group Size: 6 | Platform: QuantumTrade v2</w:t>
      </w:r>
    </w:p>
    <w:p>
      <w:r>
        <w:br w:type="page"/>
      </w:r>
    </w:p>
    <w:p>
      <w:pPr>
        <w:pStyle w:val="Heading1"/>
      </w:pPr>
      <w:r>
        <w:rPr>
          <w:rFonts w:ascii="Calibri" w:hAnsi="Calibri"/>
        </w:rPr>
        <w:t>Table of Contents</w:t>
      </w:r>
    </w:p>
    <w:p>
      <w:pPr>
        <w:spacing w:after="120" w:line="276" w:lineRule="auto"/>
      </w:pPr>
      <w:r>
        <w:rPr>
          <w:rFonts w:ascii="Calibri" w:hAnsi="Calibri"/>
          <w:b w:val="0"/>
          <w:sz w:val="21"/>
        </w:rPr>
        <w:t>1. Abstract</w:t>
      </w:r>
    </w:p>
    <w:p>
      <w:pPr>
        <w:spacing w:after="120" w:line="276" w:lineRule="auto"/>
      </w:pPr>
      <w:r>
        <w:rPr>
          <w:rFonts w:ascii="Calibri" w:hAnsi="Calibri"/>
          <w:b w:val="0"/>
          <w:sz w:val="21"/>
        </w:rPr>
        <w:t>2. Introduction &amp; Background</w:t>
      </w:r>
    </w:p>
    <w:p>
      <w:pPr>
        <w:spacing w:after="120" w:line="276" w:lineRule="auto"/>
      </w:pPr>
      <w:r>
        <w:rPr>
          <w:rFonts w:ascii="Calibri" w:hAnsi="Calibri"/>
          <w:b w:val="0"/>
          <w:sz w:val="21"/>
        </w:rPr>
        <w:t>3. System Architecture &amp; Module Design</w:t>
      </w:r>
    </w:p>
    <w:p>
      <w:pPr>
        <w:spacing w:after="120" w:line="276" w:lineRule="auto"/>
      </w:pPr>
      <w:r>
        <w:rPr>
          <w:rFonts w:ascii="Calibri" w:hAnsi="Calibri"/>
          <w:b w:val="0"/>
          <w:sz w:val="21"/>
        </w:rPr>
        <w:t xml:space="preserve">  3.1 Module 1 - Data Ingestion</w:t>
      </w:r>
    </w:p>
    <w:p>
      <w:pPr>
        <w:spacing w:after="120" w:line="276" w:lineRule="auto"/>
      </w:pPr>
      <w:r>
        <w:rPr>
          <w:rFonts w:ascii="Calibri" w:hAnsi="Calibri"/>
          <w:b w:val="0"/>
          <w:sz w:val="21"/>
        </w:rPr>
        <w:t xml:space="preserve">  3.2 Module 2 - NLP Sentiment Pipeline</w:t>
      </w:r>
    </w:p>
    <w:p>
      <w:pPr>
        <w:spacing w:after="120" w:line="276" w:lineRule="auto"/>
      </w:pPr>
      <w:r>
        <w:rPr>
          <w:rFonts w:ascii="Calibri" w:hAnsi="Calibri"/>
          <w:b w:val="0"/>
          <w:sz w:val="21"/>
        </w:rPr>
        <w:t xml:space="preserve">  3.3 Module 3 - Data Storage &amp; Persistence</w:t>
      </w:r>
    </w:p>
    <w:p>
      <w:pPr>
        <w:spacing w:after="120" w:line="276" w:lineRule="auto"/>
      </w:pPr>
      <w:r>
        <w:rPr>
          <w:rFonts w:ascii="Calibri" w:hAnsi="Calibri"/>
          <w:b w:val="0"/>
          <w:sz w:val="21"/>
        </w:rPr>
        <w:t xml:space="preserve">  3.4 Module 4 - RL Trading Engine</w:t>
      </w:r>
    </w:p>
    <w:p>
      <w:pPr>
        <w:spacing w:after="120" w:line="276" w:lineRule="auto"/>
      </w:pPr>
      <w:r>
        <w:rPr>
          <w:rFonts w:ascii="Calibri" w:hAnsi="Calibri"/>
          <w:b w:val="0"/>
          <w:sz w:val="21"/>
        </w:rPr>
        <w:t xml:space="preserve">  3.5 Module 5 - Front-End Dashboard</w:t>
      </w:r>
    </w:p>
    <w:p>
      <w:pPr>
        <w:spacing w:after="120" w:line="276" w:lineRule="auto"/>
      </w:pPr>
      <w:r>
        <w:rPr>
          <w:rFonts w:ascii="Calibri" w:hAnsi="Calibri"/>
          <w:b w:val="0"/>
          <w:sz w:val="21"/>
        </w:rPr>
        <w:t>4. Methodology</w:t>
      </w:r>
    </w:p>
    <w:p>
      <w:pPr>
        <w:spacing w:after="120" w:line="276" w:lineRule="auto"/>
      </w:pPr>
      <w:r>
        <w:rPr>
          <w:rFonts w:ascii="Calibri" w:hAnsi="Calibri"/>
          <w:b w:val="0"/>
          <w:sz w:val="21"/>
        </w:rPr>
        <w:t xml:space="preserve">  4.1 DQN from Scratch</w:t>
      </w:r>
    </w:p>
    <w:p>
      <w:pPr>
        <w:spacing w:after="120" w:line="276" w:lineRule="auto"/>
      </w:pPr>
      <w:r>
        <w:rPr>
          <w:rFonts w:ascii="Calibri" w:hAnsi="Calibri"/>
          <w:b w:val="0"/>
          <w:sz w:val="21"/>
        </w:rPr>
        <w:t xml:space="preserve">  4.2 Multi-Method Sentiment Analysis</w:t>
      </w:r>
    </w:p>
    <w:p>
      <w:pPr>
        <w:spacing w:after="120" w:line="276" w:lineRule="auto"/>
      </w:pPr>
      <w:r>
        <w:rPr>
          <w:rFonts w:ascii="Calibri" w:hAnsi="Calibri"/>
          <w:b w:val="0"/>
          <w:sz w:val="21"/>
        </w:rPr>
        <w:t xml:space="preserve">  4.3 Walk-Forward Validation</w:t>
      </w:r>
    </w:p>
    <w:p>
      <w:pPr>
        <w:spacing w:after="120" w:line="276" w:lineRule="auto"/>
      </w:pPr>
      <w:r>
        <w:rPr>
          <w:rFonts w:ascii="Calibri" w:hAnsi="Calibri"/>
          <w:b w:val="0"/>
          <w:sz w:val="21"/>
        </w:rPr>
        <w:t xml:space="preserve">  4.4 Ablation Study Design</w:t>
      </w:r>
    </w:p>
    <w:p>
      <w:pPr>
        <w:spacing w:after="120" w:line="276" w:lineRule="auto"/>
      </w:pPr>
      <w:r>
        <w:rPr>
          <w:rFonts w:ascii="Calibri" w:hAnsi="Calibri"/>
          <w:b w:val="0"/>
          <w:sz w:val="21"/>
        </w:rPr>
        <w:t>5. Experiments &amp; Results</w:t>
      </w:r>
    </w:p>
    <w:p>
      <w:pPr>
        <w:spacing w:after="120" w:line="276" w:lineRule="auto"/>
      </w:pPr>
      <w:r>
        <w:rPr>
          <w:rFonts w:ascii="Calibri" w:hAnsi="Calibri"/>
          <w:b w:val="0"/>
          <w:sz w:val="21"/>
        </w:rPr>
        <w:t xml:space="preserve">  5.1 Layer 1: NLP Contribution (Ablation Delta)</w:t>
      </w:r>
    </w:p>
    <w:p>
      <w:pPr>
        <w:spacing w:after="120" w:line="276" w:lineRule="auto"/>
      </w:pPr>
      <w:r>
        <w:rPr>
          <w:rFonts w:ascii="Calibri" w:hAnsi="Calibri"/>
          <w:b w:val="0"/>
          <w:sz w:val="21"/>
        </w:rPr>
        <w:t xml:space="preserve">  5.2 Layer 2: DQN+NLP vs. Buy-and-Hold Benchmark</w:t>
      </w:r>
    </w:p>
    <w:p>
      <w:pPr>
        <w:spacing w:after="120" w:line="276" w:lineRule="auto"/>
      </w:pPr>
      <w:r>
        <w:rPr>
          <w:rFonts w:ascii="Calibri" w:hAnsi="Calibri"/>
          <w:b w:val="0"/>
          <w:sz w:val="21"/>
        </w:rPr>
        <w:t xml:space="preserve">  5.3 Layer 3: Paper Trading Forward Validation</w:t>
      </w:r>
    </w:p>
    <w:p>
      <w:pPr>
        <w:spacing w:after="120" w:line="276" w:lineRule="auto"/>
      </w:pPr>
      <w:r>
        <w:rPr>
          <w:rFonts w:ascii="Calibri" w:hAnsi="Calibri"/>
          <w:b w:val="0"/>
          <w:sz w:val="21"/>
        </w:rPr>
        <w:t>6. Critical Discussion &amp; Reflection</w:t>
      </w:r>
    </w:p>
    <w:p>
      <w:pPr>
        <w:spacing w:after="120" w:line="276" w:lineRule="auto"/>
      </w:pPr>
      <w:r>
        <w:rPr>
          <w:rFonts w:ascii="Calibri" w:hAnsi="Calibri"/>
          <w:b w:val="0"/>
          <w:sz w:val="21"/>
        </w:rPr>
        <w:t xml:space="preserve">  6.1 Per-Module Analysis</w:t>
      </w:r>
    </w:p>
    <w:p>
      <w:pPr>
        <w:spacing w:after="120" w:line="276" w:lineRule="auto"/>
      </w:pPr>
      <w:r>
        <w:rPr>
          <w:rFonts w:ascii="Calibri" w:hAnsi="Calibri"/>
          <w:b w:val="0"/>
          <w:sz w:val="21"/>
        </w:rPr>
        <w:t xml:space="preserve">  6.2 Limitations &amp; Future Work</w:t>
      </w:r>
    </w:p>
    <w:p>
      <w:pPr>
        <w:spacing w:after="120" w:line="276" w:lineRule="auto"/>
      </w:pPr>
      <w:r>
        <w:rPr>
          <w:rFonts w:ascii="Calibri" w:hAnsi="Calibri"/>
          <w:b w:val="0"/>
          <w:sz w:val="21"/>
        </w:rPr>
        <w:t>7. Conclusion</w:t>
      </w:r>
    </w:p>
    <w:p>
      <w:pPr>
        <w:spacing w:after="120" w:line="276" w:lineRule="auto"/>
      </w:pPr>
      <w:r>
        <w:rPr>
          <w:rFonts w:ascii="Calibri" w:hAnsi="Calibri"/>
          <w:b w:val="0"/>
          <w:sz w:val="21"/>
        </w:rPr>
        <w:t>8. References</w:t>
      </w:r>
    </w:p>
    <w:p>
      <w:r>
        <w:br w:type="page"/>
      </w:r>
    </w:p>
    <w:p>
      <w:pPr>
        <w:pStyle w:val="Heading1"/>
      </w:pPr>
      <w:r>
        <w:rPr>
          <w:rFonts w:ascii="Calibri" w:hAnsi="Calibri"/>
        </w:rPr>
        <w:t>1. Abstract</w:t>
      </w:r>
    </w:p>
    <w:p>
      <w:pPr>
        <w:spacing w:after="120" w:line="276" w:lineRule="auto"/>
      </w:pPr>
      <w:r>
        <w:rPr>
          <w:rFonts w:ascii="Calibri" w:hAnsi="Calibri"/>
          <w:b w:val="0"/>
          <w:sz w:val="22"/>
        </w:rPr>
        <w:t>This report presents an end-to-end intelligent trading platform that integrates Natural Language Processing (NLP) with Reinforcement Learning (RL) to answer a central question: Do NLP-derived sentiment signals improve RL trading performance? The platform implements five integrated modules spanning data ingestion from multiple financial APIs, a multi-method NLP sentiment pipeline (VADER + financial lexicon, TF-IDF Logistic Regression, and FinBERT), a SQLite-based data persistence layer, a Double Deep Q-Network (DQN) trading agent built from scratch, and an interactive Streamlit dashboard for real-time monitoring. A systematic ablation study across 28 S&amp;P-listed stocks with multi-seed DQN training (3 seeds x 200 episodes) reveals that NLP signals improve Sharpe Ratio in 12 out of 28 stocks (42.9%), though the aggregate DQN vs. Buy-and-Hold Sharpe win rate is 50.0%, indicating that NLP signals provide context-dependent benefits rather than universal improvement. The paper trading forward-validation layer executes 21 BUY and 7 SELL signals with a portfolio value of $99,900.84 (-0.10% after transaction costs). Critical analysis reveals that NLP efficacy varies substantially by sector, with Consumer and Healthcare sectors benefiting more than Technology and Finance.</w:t>
      </w:r>
    </w:p>
    <w:p>
      <w:r>
        <w:br w:type="page"/>
      </w:r>
    </w:p>
    <w:p>
      <w:pPr>
        <w:pStyle w:val="Heading1"/>
      </w:pPr>
      <w:r>
        <w:rPr>
          <w:rFonts w:ascii="Calibri" w:hAnsi="Calibri"/>
        </w:rPr>
        <w:t>2. Introduction &amp; Background</w:t>
      </w:r>
    </w:p>
    <w:p>
      <w:pPr>
        <w:spacing w:after="120" w:line="276" w:lineRule="auto"/>
      </w:pPr>
      <w:r>
        <w:rPr>
          <w:rFonts w:ascii="Calibri" w:hAnsi="Calibri"/>
          <w:b w:val="0"/>
          <w:sz w:val="22"/>
        </w:rPr>
        <w:t>Quantitative finance has undergone a paradigm shift over the past decade. Traditional factor models rely exclusively on structured market data - prices, volumes, and technical indicators - ignoring the vast universe of unstructured textual information that drives market sentiment. News articles, earnings call transcripts, regulatory filings, and social media posts contain forward-looking signals that can anticipate price movements before they materialize in price data alone.</w:t>
      </w:r>
    </w:p>
    <w:p>
      <w:pPr>
        <w:spacing w:after="120" w:line="276" w:lineRule="auto"/>
      </w:pPr>
      <w:r>
        <w:rPr>
          <w:rFonts w:ascii="Calibri" w:hAnsi="Calibri"/>
          <w:b w:val="0"/>
          <w:sz w:val="22"/>
        </w:rPr>
        <w:t>The integration of Natural Language Processing (NLP) with Reinforcement Learning (RL) represents a frontier in quantitative trading. The rationale is straightforward: if a trading agent can read and interpret financial news the way a human analyst does, its state representation becomes richer, and its decisions become more informed. However, the empirical question remains open: does adding a sentiment score to an RL agent's state vector actually improve risk-adjusted returns, or does it simply add noise?</w:t>
      </w:r>
    </w:p>
    <w:p>
      <w:pPr>
        <w:spacing w:after="120" w:line="276" w:lineRule="auto"/>
      </w:pPr>
      <w:r>
        <w:rPr>
          <w:rFonts w:ascii="Calibri" w:hAnsi="Calibri"/>
          <w:b w:val="0"/>
          <w:sz w:val="22"/>
        </w:rPr>
        <w:t>This project addresses this question through a full-stack implementation. The platform processes raw financial news headlines through three sentiment analysis methods (VADER, Logistic Regression, and FinBERT), encodes the resulting signal into an 11-dimensional state vector alongside technical indicators, and trains a Double DQN agent to make Buy/Sell/Hold decisions. A rigorous ablation study trains parallel agents with and without the NLP signal across 28 stocks, using three random seeds per condition to quantify training variance.</w:t>
      </w:r>
    </w:p>
    <w:p>
      <w:pPr>
        <w:spacing w:after="120" w:line="276" w:lineRule="auto"/>
      </w:pPr>
      <w:r>
        <w:rPr>
          <w:rFonts w:ascii="Calibri" w:hAnsi="Calibri"/>
          <w:b w:val="0"/>
          <w:sz w:val="22"/>
        </w:rPr>
        <w:t>The scope covers 28 S&amp;P-listed equities across six sectors: Technology (AAPL, MSFT, GOOGL, AMZN, NVDA, META, TSLA), Finance (JPM, BAC, V, MA, GS), Healthcare (JNJ, UNH, PFE, ABBV), Consumer (KO, PEP, WMT, COST, NKE), Energy/Industrial (XOM, CVX, CAT, BA, DIS), and Communication/Utility (NFLX, NEE). Market data spans 2020-2024 and news data from Finnhub covers a 12-month lookback window. The platform is designed as a modular pipeline: each of the five modules can be developed, tested, and evaluated independently before full integration.</w:t>
      </w:r>
    </w:p>
    <w:p>
      <w:r>
        <w:br w:type="page"/>
      </w:r>
    </w:p>
    <w:p>
      <w:pPr>
        <w:pStyle w:val="Heading1"/>
      </w:pPr>
      <w:r>
        <w:rPr>
          <w:rFonts w:ascii="Calibri" w:hAnsi="Calibri"/>
        </w:rPr>
        <w:t>3. System Architecture &amp; Module Design</w:t>
      </w:r>
    </w:p>
    <w:p>
      <w:pPr>
        <w:spacing w:after="120" w:line="276" w:lineRule="auto"/>
      </w:pPr>
      <w:r>
        <w:rPr>
          <w:rFonts w:ascii="Calibri" w:hAnsi="Calibri"/>
          <w:b w:val="0"/>
          <w:sz w:val="22"/>
        </w:rPr>
        <w:t>The platform follows a pipeline architecture where data flows sequentially through five modules. Each module has a clearly defined responsibility, input contract, and output contract, enabling independent development and testing by sub-teams.</w:t>
      </w:r>
    </w:p>
    <w:p>
      <w:pPr>
        <w:spacing w:after="120" w:line="276" w:lineRule="auto"/>
      </w:pPr>
      <w:r>
        <w:rPr>
          <w:rFonts w:ascii="Calibri" w:hAnsi="Calibri"/>
          <w:b/>
          <w:sz w:val="22"/>
        </w:rPr>
        <w:t>System Data Flow:</w:t>
      </w:r>
    </w:p>
    <w:p>
      <w:pPr>
        <w:spacing w:after="120" w:line="276" w:lineRule="auto"/>
      </w:pPr>
      <w:r>
        <w:rPr>
          <w:rFonts w:ascii="Calibri" w:hAnsi="Calibri"/>
          <w:b w:val="0"/>
          <w:sz w:val="18"/>
        </w:rPr>
        <w:t xml:space="preserve">  Raw News Text (Finnhub/RSS) ---&gt; [Module 2] NLP Pipeline ---&gt; Sentiment Score [-1, +1]</w:t>
        <w:br/>
        <w:t xml:space="preserve">  Market OHLCV (Yahoo Direct) ---&gt; [Module 1] Data Ingestion ---&gt; [Module 3] SQLite DB</w:t>
        <w:br/>
        <w:t xml:space="preserve">  [Module 3] DB ---&gt; [Module 4] RL Engine (11-dim state + DQN) ---&gt; [Module 5] Dashboard</w:t>
        <w:br/>
        <w:t xml:space="preserve">                                              |</w:t>
        <w:br/>
        <w:t xml:space="preserve">                                        Ablation Study</w:t>
        <w:br/>
        <w:t xml:space="preserve">                                   (with-NLP vs. without-NLP)</w:t>
        <w:br/>
        <w:t xml:space="preserve">                                              |</w:t>
        <w:br/>
        <w:t xml:space="preserve">                                        Paper Trading</w:t>
        <w:br/>
        <w:t xml:space="preserve">                                   (walk-forward validation)</w:t>
      </w:r>
    </w:p>
    <w:p>
      <w:pPr>
        <w:pStyle w:val="Heading2"/>
      </w:pPr>
      <w:r>
        <w:rPr>
          <w:rFonts w:ascii="Calibri" w:hAnsi="Calibri"/>
        </w:rPr>
        <w:t>3.1 Module 1 - Data Ingestion</w:t>
      </w:r>
    </w:p>
    <w:p>
      <w:pPr>
        <w:spacing w:after="120" w:line="276" w:lineRule="auto"/>
      </w:pPr>
      <w:r>
        <w:rPr>
          <w:rFonts w:ascii="Calibri" w:hAnsi="Calibri"/>
          <w:b w:val="0"/>
          <w:sz w:val="22"/>
        </w:rPr>
        <w:t>The Data Ingestion module is responsible for collecting two distinct data types: structured OHLCV market data and unstructured financial news articles. It implements a multi-layered fallback strategy to ensure data availability even when primary sources are rate-limited.</w:t>
      </w:r>
    </w:p>
    <w:p>
      <w:pPr>
        <w:spacing w:after="120" w:line="276" w:lineRule="auto"/>
      </w:pPr>
      <w:r>
        <w:rPr>
          <w:rFonts w:ascii="Calibri" w:hAnsi="Calibri"/>
          <w:b/>
          <w:sz w:val="22"/>
        </w:rPr>
        <w:t>Market Data Sources (Priority Order):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b/>
                <w:sz w:val="19"/>
              </w:rPr>
              <w:t>Priority</w:t>
            </w:r>
          </w:p>
        </w:tc>
        <w:tc>
          <w:tcPr>
            <w:tcW w:type="dxa" w:w="2160"/>
          </w:tcPr>
          <w:p>
            <w:pPr>
              <w:jc w:val="center"/>
            </w:pPr>
            <w:r>
              <w:rPr>
                <w:rFonts w:ascii="Calibri" w:hAnsi="Calibri"/>
                <w:b/>
                <w:sz w:val="19"/>
              </w:rPr>
              <w:t>Source</w:t>
            </w:r>
          </w:p>
        </w:tc>
        <w:tc>
          <w:tcPr>
            <w:tcW w:type="dxa" w:w="2160"/>
          </w:tcPr>
          <w:p>
            <w:pPr>
              <w:jc w:val="center"/>
            </w:pPr>
            <w:r>
              <w:rPr>
                <w:rFonts w:ascii="Calibri" w:hAnsi="Calibri"/>
                <w:b/>
                <w:sz w:val="19"/>
              </w:rPr>
              <w:t>Endpoint / Library</w:t>
            </w:r>
          </w:p>
        </w:tc>
        <w:tc>
          <w:tcPr>
            <w:tcW w:type="dxa" w:w="2160"/>
          </w:tcPr>
          <w:p>
            <w:pPr>
              <w:jc w:val="center"/>
            </w:pPr>
            <w:r>
              <w:rPr>
                <w:rFonts w:ascii="Calibri" w:hAnsi="Calibri"/>
                <w:b/>
                <w:sz w:val="19"/>
              </w:rPr>
              <w:t>Typical Output</w:t>
            </w:r>
          </w:p>
        </w:tc>
      </w:tr>
      <w:tr>
        <w:tc>
          <w:tcPr>
            <w:tcW w:type="dxa" w:w="2160"/>
          </w:tcPr>
          <w:p>
            <w:r>
              <w:rPr>
                <w:rFonts w:ascii="Calibri" w:hAnsi="Calibri"/>
                <w:sz w:val="18"/>
              </w:rPr>
              <w:t>1</w:t>
            </w:r>
          </w:p>
        </w:tc>
        <w:tc>
          <w:tcPr>
            <w:tcW w:type="dxa" w:w="2160"/>
          </w:tcPr>
          <w:p>
            <w:r>
              <w:rPr>
                <w:rFonts w:ascii="Calibri" w:hAnsi="Calibri"/>
                <w:sz w:val="18"/>
              </w:rPr>
              <w:t>Yahoo Direct</w:t>
            </w:r>
          </w:p>
        </w:tc>
        <w:tc>
          <w:tcPr>
            <w:tcW w:type="dxa" w:w="2160"/>
          </w:tcPr>
          <w:p>
            <w:r>
              <w:rPr>
                <w:rFonts w:ascii="Calibri" w:hAnsi="Calibri"/>
                <w:sz w:val="18"/>
              </w:rPr>
              <w:t>query2.finance.yahoo.com/v8/finance/chart</w:t>
            </w:r>
          </w:p>
        </w:tc>
        <w:tc>
          <w:tcPr>
            <w:tcW w:type="dxa" w:w="2160"/>
          </w:tcPr>
          <w:p>
            <w:r>
              <w:rPr>
                <w:rFonts w:ascii="Calibri" w:hAnsi="Calibri"/>
                <w:sz w:val="18"/>
              </w:rPr>
              <w:t>1,599 rows (full history, 2020-2024)</w:t>
            </w:r>
          </w:p>
        </w:tc>
      </w:tr>
      <w:tr>
        <w:tc>
          <w:tcPr>
            <w:tcW w:type="dxa" w:w="2160"/>
          </w:tcPr>
          <w:p>
            <w:r>
              <w:rPr>
                <w:rFonts w:ascii="Calibri" w:hAnsi="Calibri"/>
                <w:sz w:val="18"/>
              </w:rPr>
              <w:t>2</w:t>
            </w:r>
          </w:p>
        </w:tc>
        <w:tc>
          <w:tcPr>
            <w:tcW w:type="dxa" w:w="2160"/>
          </w:tcPr>
          <w:p>
            <w:r>
              <w:rPr>
                <w:rFonts w:ascii="Calibri" w:hAnsi="Calibri"/>
                <w:sz w:val="18"/>
              </w:rPr>
              <w:t>yfinance</w:t>
            </w:r>
          </w:p>
        </w:tc>
        <w:tc>
          <w:tcPr>
            <w:tcW w:type="dxa" w:w="2160"/>
          </w:tcPr>
          <w:p>
            <w:r>
              <w:rPr>
                <w:rFonts w:ascii="Calibri" w:hAnsi="Calibri"/>
                <w:sz w:val="18"/>
              </w:rPr>
              <w:t>Python library (yfinance.Ticker)</w:t>
            </w:r>
          </w:p>
        </w:tc>
        <w:tc>
          <w:tcPr>
            <w:tcW w:type="dxa" w:w="2160"/>
          </w:tcPr>
          <w:p>
            <w:r>
              <w:rPr>
                <w:rFonts w:ascii="Calibri" w:hAnsi="Calibri"/>
                <w:sz w:val="18"/>
              </w:rPr>
              <w:t>Variable (frequently rate-limited, HTTP 403)</w:t>
            </w:r>
          </w:p>
        </w:tc>
      </w:tr>
      <w:tr>
        <w:tc>
          <w:tcPr>
            <w:tcW w:type="dxa" w:w="2160"/>
          </w:tcPr>
          <w:p>
            <w:r>
              <w:rPr>
                <w:rFonts w:ascii="Calibri" w:hAnsi="Calibri"/>
                <w:sz w:val="18"/>
              </w:rPr>
              <w:t>3</w:t>
            </w:r>
          </w:p>
        </w:tc>
        <w:tc>
          <w:tcPr>
            <w:tcW w:type="dxa" w:w="2160"/>
          </w:tcPr>
          <w:p>
            <w:r>
              <w:rPr>
                <w:rFonts w:ascii="Calibri" w:hAnsi="Calibri"/>
                <w:sz w:val="18"/>
              </w:rPr>
              <w:t>Alpha Vantage</w:t>
            </w:r>
          </w:p>
        </w:tc>
        <w:tc>
          <w:tcPr>
            <w:tcW w:type="dxa" w:w="2160"/>
          </w:tcPr>
          <w:p>
            <w:r>
              <w:rPr>
                <w:rFonts w:ascii="Calibri" w:hAnsi="Calibri"/>
                <w:sz w:val="18"/>
              </w:rPr>
              <w:t>TIME_SERIES_DAILY_ADJUSTED API</w:t>
            </w:r>
          </w:p>
        </w:tc>
        <w:tc>
          <w:tcPr>
            <w:tcW w:type="dxa" w:w="2160"/>
          </w:tcPr>
          <w:p>
            <w:r>
              <w:rPr>
                <w:rFonts w:ascii="Calibri" w:hAnsi="Calibri"/>
                <w:sz w:val="18"/>
              </w:rPr>
              <w:t>~100 rows (compact, 25 req/day free tier)</w:t>
            </w:r>
          </w:p>
        </w:tc>
      </w:tr>
      <w:tr>
        <w:tc>
          <w:tcPr>
            <w:tcW w:type="dxa" w:w="2160"/>
          </w:tcPr>
          <w:p>
            <w:r>
              <w:rPr>
                <w:rFonts w:ascii="Calibri" w:hAnsi="Calibri"/>
                <w:sz w:val="18"/>
              </w:rPr>
              <w:t>4</w:t>
            </w:r>
          </w:p>
        </w:tc>
        <w:tc>
          <w:tcPr>
            <w:tcW w:type="dxa" w:w="2160"/>
          </w:tcPr>
          <w:p>
            <w:r>
              <w:rPr>
                <w:rFonts w:ascii="Calibri" w:hAnsi="Calibri"/>
                <w:sz w:val="18"/>
              </w:rPr>
              <w:t>Synthetic</w:t>
            </w:r>
          </w:p>
        </w:tc>
        <w:tc>
          <w:tcPr>
            <w:tcW w:type="dxa" w:w="2160"/>
          </w:tcPr>
          <w:p>
            <w:r>
              <w:rPr>
                <w:rFonts w:ascii="Calibri" w:hAnsi="Calibri"/>
                <w:sz w:val="18"/>
              </w:rPr>
              <w:t>Seeded random walk per ticker</w:t>
            </w:r>
          </w:p>
        </w:tc>
        <w:tc>
          <w:tcPr>
            <w:tcW w:type="dxa" w:w="2160"/>
          </w:tcPr>
          <w:p>
            <w:r>
              <w:rPr>
                <w:rFonts w:ascii="Calibri" w:hAnsi="Calibri"/>
                <w:sz w:val="18"/>
              </w:rPr>
              <w:t>1,662 rows (deterministic fallback)</w:t>
            </w:r>
          </w:p>
        </w:tc>
      </w:tr>
    </w:tbl>
    <w:p/>
    <w:p>
      <w:pPr>
        <w:spacing w:after="120" w:line="276" w:lineRule="auto"/>
      </w:pPr>
      <w:r>
        <w:rPr>
          <w:rFonts w:ascii="Calibri" w:hAnsi="Calibri"/>
          <w:b/>
          <w:sz w:val="22"/>
        </w:rPr>
        <w:t>News Data Sources (Priority Order):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b/>
                <w:sz w:val="19"/>
              </w:rPr>
              <w:t>Priority</w:t>
            </w:r>
          </w:p>
        </w:tc>
        <w:tc>
          <w:tcPr>
            <w:tcW w:type="dxa" w:w="2160"/>
          </w:tcPr>
          <w:p>
            <w:pPr>
              <w:jc w:val="center"/>
            </w:pPr>
            <w:r>
              <w:rPr>
                <w:rFonts w:ascii="Calibri" w:hAnsi="Calibri"/>
                <w:b/>
                <w:sz w:val="19"/>
              </w:rPr>
              <w:t>Source</w:t>
            </w:r>
          </w:p>
        </w:tc>
        <w:tc>
          <w:tcPr>
            <w:tcW w:type="dxa" w:w="2160"/>
          </w:tcPr>
          <w:p>
            <w:pPr>
              <w:jc w:val="center"/>
            </w:pPr>
            <w:r>
              <w:rPr>
                <w:rFonts w:ascii="Calibri" w:hAnsi="Calibri"/>
                <w:b/>
                <w:sz w:val="19"/>
              </w:rPr>
              <w:t>Coverage</w:t>
            </w:r>
          </w:p>
        </w:tc>
        <w:tc>
          <w:tcPr>
            <w:tcW w:type="dxa" w:w="2160"/>
          </w:tcPr>
          <w:p>
            <w:pPr>
              <w:jc w:val="center"/>
            </w:pPr>
            <w:r>
              <w:rPr>
                <w:rFonts w:ascii="Calibri" w:hAnsi="Calibri"/>
                <w:b/>
                <w:sz w:val="19"/>
              </w:rPr>
              <w:t>Deduplication Strategy</w:t>
            </w:r>
          </w:p>
        </w:tc>
      </w:tr>
      <w:tr>
        <w:tc>
          <w:tcPr>
            <w:tcW w:type="dxa" w:w="2160"/>
          </w:tcPr>
          <w:p>
            <w:r>
              <w:rPr>
                <w:rFonts w:ascii="Calibri" w:hAnsi="Calibri"/>
                <w:sz w:val="18"/>
              </w:rPr>
              <w:t>1</w:t>
            </w:r>
          </w:p>
        </w:tc>
        <w:tc>
          <w:tcPr>
            <w:tcW w:type="dxa" w:w="2160"/>
          </w:tcPr>
          <w:p>
            <w:r>
              <w:rPr>
                <w:rFonts w:ascii="Calibri" w:hAnsi="Calibri"/>
                <w:sz w:val="18"/>
              </w:rPr>
              <w:t>Finnhub Company News</w:t>
            </w:r>
          </w:p>
        </w:tc>
        <w:tc>
          <w:tcPr>
            <w:tcW w:type="dxa" w:w="2160"/>
          </w:tcPr>
          <w:p>
            <w:r>
              <w:rPr>
                <w:rFonts w:ascii="Calibri" w:hAnsi="Calibri"/>
                <w:sz w:val="18"/>
              </w:rPr>
              <w:t>12-month lookback, fetched in</w:t>
              <w:br/>
              <w:t>2-month chunks</w:t>
            </w:r>
          </w:p>
        </w:tc>
        <w:tc>
          <w:tcPr>
            <w:tcW w:type="dxa" w:w="2160"/>
          </w:tcPr>
          <w:p>
            <w:r>
              <w:rPr>
                <w:rFonts w:ascii="Calibri" w:hAnsi="Calibri"/>
                <w:sz w:val="18"/>
              </w:rPr>
              <w:t>By unique URL</w:t>
            </w:r>
          </w:p>
        </w:tc>
      </w:tr>
      <w:tr>
        <w:tc>
          <w:tcPr>
            <w:tcW w:type="dxa" w:w="2160"/>
          </w:tcPr>
          <w:p>
            <w:r>
              <w:rPr>
                <w:rFonts w:ascii="Calibri" w:hAnsi="Calibri"/>
                <w:sz w:val="18"/>
              </w:rPr>
              <w:t>2</w:t>
            </w:r>
          </w:p>
        </w:tc>
        <w:tc>
          <w:tcPr>
            <w:tcW w:type="dxa" w:w="2160"/>
          </w:tcPr>
          <w:p>
            <w:r>
              <w:rPr>
                <w:rFonts w:ascii="Calibri" w:hAnsi="Calibri"/>
                <w:sz w:val="18"/>
              </w:rPr>
              <w:t>Alpha Vantage News</w:t>
            </w:r>
          </w:p>
        </w:tc>
        <w:tc>
          <w:tcPr>
            <w:tcW w:type="dxa" w:w="2160"/>
          </w:tcPr>
          <w:p>
            <w:r>
              <w:rPr>
                <w:rFonts w:ascii="Calibri" w:hAnsi="Calibri"/>
                <w:sz w:val="18"/>
              </w:rPr>
              <w:t>24-month lookback,</w:t>
              <w:br/>
              <w:t>3-month chunks</w:t>
            </w:r>
          </w:p>
        </w:tc>
        <w:tc>
          <w:tcPr>
            <w:tcW w:type="dxa" w:w="2160"/>
          </w:tcPr>
          <w:p>
            <w:r>
              <w:rPr>
                <w:rFonts w:ascii="Calibri" w:hAnsi="Calibri"/>
                <w:sz w:val="18"/>
              </w:rPr>
              <w:t>By unique URL</w:t>
            </w:r>
          </w:p>
        </w:tc>
      </w:tr>
      <w:tr>
        <w:tc>
          <w:tcPr>
            <w:tcW w:type="dxa" w:w="2160"/>
          </w:tcPr>
          <w:p>
            <w:r>
              <w:rPr>
                <w:rFonts w:ascii="Calibri" w:hAnsi="Calibri"/>
                <w:sz w:val="18"/>
              </w:rPr>
              <w:t>3</w:t>
            </w:r>
          </w:p>
        </w:tc>
        <w:tc>
          <w:tcPr>
            <w:tcW w:type="dxa" w:w="2160"/>
          </w:tcPr>
          <w:p>
            <w:r>
              <w:rPr>
                <w:rFonts w:ascii="Calibri" w:hAnsi="Calibri"/>
                <w:sz w:val="18"/>
              </w:rPr>
              <w:t>NewsAPI</w:t>
            </w:r>
          </w:p>
        </w:tc>
        <w:tc>
          <w:tcPr>
            <w:tcW w:type="dxa" w:w="2160"/>
          </w:tcPr>
          <w:p>
            <w:r>
              <w:rPr>
                <w:rFonts w:ascii="Calibri" w:hAnsi="Calibri"/>
                <w:sz w:val="18"/>
              </w:rPr>
              <w:t>30-day lookback,</w:t>
              <w:br/>
              <w:t>50 articles per ticker</w:t>
            </w:r>
          </w:p>
        </w:tc>
        <w:tc>
          <w:tcPr>
            <w:tcW w:type="dxa" w:w="2160"/>
          </w:tcPr>
          <w:p>
            <w:r>
              <w:rPr>
                <w:rFonts w:ascii="Calibri" w:hAnsi="Calibri"/>
                <w:sz w:val="18"/>
              </w:rPr>
              <w:t>By unique URL</w:t>
            </w:r>
          </w:p>
        </w:tc>
      </w:tr>
      <w:tr>
        <w:tc>
          <w:tcPr>
            <w:tcW w:type="dxa" w:w="2160"/>
          </w:tcPr>
          <w:p>
            <w:r>
              <w:rPr>
                <w:rFonts w:ascii="Calibri" w:hAnsi="Calibri"/>
                <w:sz w:val="18"/>
              </w:rPr>
              <w:t>4</w:t>
            </w:r>
          </w:p>
        </w:tc>
        <w:tc>
          <w:tcPr>
            <w:tcW w:type="dxa" w:w="2160"/>
          </w:tcPr>
          <w:p>
            <w:r>
              <w:rPr>
                <w:rFonts w:ascii="Calibri" w:hAnsi="Calibri"/>
                <w:sz w:val="18"/>
              </w:rPr>
              <w:t>RSS Feeds (Yahoo Finance,</w:t>
              <w:br/>
              <w:t>Google News, Seeking Alpha,</w:t>
              <w:br/>
              <w:t>MarketWatch)</w:t>
            </w:r>
          </w:p>
        </w:tc>
        <w:tc>
          <w:tcPr>
            <w:tcW w:type="dxa" w:w="2160"/>
          </w:tcPr>
          <w:p>
            <w:r>
              <w:rPr>
                <w:rFonts w:ascii="Calibri" w:hAnsi="Calibri"/>
                <w:sz w:val="18"/>
              </w:rPr>
              <w:t>Current headlines only,</w:t>
              <w:br/>
              <w:t>20 articles per source</w:t>
            </w:r>
          </w:p>
        </w:tc>
        <w:tc>
          <w:tcPr>
            <w:tcW w:type="dxa" w:w="2160"/>
          </w:tcPr>
          <w:p>
            <w:r>
              <w:rPr>
                <w:rFonts w:ascii="Calibri" w:hAnsi="Calibri"/>
                <w:sz w:val="18"/>
              </w:rPr>
              <w:t>By (title[:80], source)</w:t>
            </w:r>
          </w:p>
        </w:tc>
      </w:tr>
      <w:tr>
        <w:tc>
          <w:tcPr>
            <w:tcW w:type="dxa" w:w="2160"/>
          </w:tcPr>
          <w:p>
            <w:r>
              <w:rPr>
                <w:rFonts w:ascii="Calibri" w:hAnsi="Calibri"/>
                <w:sz w:val="18"/>
              </w:rPr>
              <w:t>5</w:t>
            </w:r>
          </w:p>
        </w:tc>
        <w:tc>
          <w:tcPr>
            <w:tcW w:type="dxa" w:w="2160"/>
          </w:tcPr>
          <w:p>
            <w:r>
              <w:rPr>
                <w:rFonts w:ascii="Calibri" w:hAnsi="Calibri"/>
                <w:sz w:val="18"/>
              </w:rPr>
              <w:t>Synthetic Templates</w:t>
            </w:r>
          </w:p>
        </w:tc>
        <w:tc>
          <w:tcPr>
            <w:tcW w:type="dxa" w:w="2160"/>
          </w:tcPr>
          <w:p>
            <w:r>
              <w:rPr>
                <w:rFonts w:ascii="Calibri" w:hAnsi="Calibri"/>
                <w:sz w:val="18"/>
              </w:rPr>
              <w:t>30 days of auto-generated</w:t>
              <w:br/>
              <w:t>headlines</w:t>
            </w:r>
          </w:p>
        </w:tc>
        <w:tc>
          <w:tcPr>
            <w:tcW w:type="dxa" w:w="2160"/>
          </w:tcPr>
          <w:p>
            <w:r>
              <w:rPr>
                <w:rFonts w:ascii="Calibri" w:hAnsi="Calibri"/>
                <w:sz w:val="18"/>
              </w:rPr>
              <w:t>Deterministic:</w:t>
              <w:br/>
              <w:t>random.seed(42)</w:t>
            </w:r>
          </w:p>
        </w:tc>
      </w:tr>
    </w:tbl>
    <w:p/>
    <w:p>
      <w:pPr>
        <w:spacing w:after="120" w:line="276" w:lineRule="auto"/>
      </w:pPr>
      <w:r>
        <w:rPr>
          <w:rFonts w:ascii="Calibri" w:hAnsi="Calibri"/>
          <w:b w:val="0"/>
          <w:sz w:val="22"/>
        </w:rPr>
        <w:t>The system covers 28 tickers across 6 sectors with a 3-second inter-ticker delay to respect API rate limits. During the main experimental run, yfinance was rate-limited (HTTP 403) for all 28 stocks, and Alpha Vantage exhausted its 25-request daily quota by the 25th ticker. Yahoo Direct successfully served all 28 stocks with complete historical data (1,599 rows each), validating the multi-source fallback design. Finnhub delivered 904-1,437 real news articles per ticker, totaling 11,695 articles across the universe.</w:t>
      </w:r>
    </w:p>
    <w:p>
      <w:pPr>
        <w:pStyle w:val="Heading2"/>
      </w:pPr>
      <w:r>
        <w:rPr>
          <w:rFonts w:ascii="Calibri" w:hAnsi="Calibri"/>
        </w:rPr>
        <w:t>3.2 Module 2 - NLP Sentiment Pipeline</w:t>
      </w:r>
    </w:p>
    <w:p>
      <w:pPr>
        <w:spacing w:after="120" w:line="276" w:lineRule="auto"/>
      </w:pPr>
      <w:r>
        <w:rPr>
          <w:rFonts w:ascii="Calibri" w:hAnsi="Calibri"/>
          <w:b w:val="0"/>
          <w:sz w:val="22"/>
        </w:rPr>
        <w:t>The NLP module transforms raw news text into a scalar sentiment signal in the range [-1, +1] that feeds directly into the RL state vector. Three complementary sentiment analysis methods are implemented to enable cross-method validation and inter-rater agreement analysis.</w:t>
      </w:r>
    </w:p>
    <w:p>
      <w:pPr>
        <w:spacing w:after="120" w:line="276" w:lineRule="auto"/>
      </w:pPr>
      <w:r>
        <w:rPr>
          <w:rFonts w:ascii="Calibri" w:hAnsi="Calibri"/>
          <w:b/>
          <w:sz w:val="22"/>
        </w:rPr>
        <w:t>3.2.1 Text Preprocessing Pipeline</w:t>
      </w:r>
    </w:p>
    <w:p>
      <w:pPr>
        <w:spacing w:after="120" w:line="276" w:lineRule="auto"/>
      </w:pPr>
      <w:r>
        <w:rPr>
          <w:rFonts w:ascii="Calibri" w:hAnsi="Calibri"/>
          <w:b w:val="0"/>
          <w:sz w:val="22"/>
        </w:rPr>
        <w:t>All news articles undergo a standardized 6-step preprocessing sequence: (1) lowercase conversion, (2) URL and HTML tag removal via regular expressions, (3) punctuation and digit removal, (4) word tokenization via NLTK's word_tokenize, (5) stopword filtering (NLTK English stopwords plus tokens shorter than 3 characters), and (6) lemmatization via NLTK's WordNetLemmatizer. The cleaned output concatenates the article title and body into a single 'cleaned_text' field.</w:t>
      </w:r>
    </w:p>
    <w:p>
      <w:pPr>
        <w:spacing w:after="120" w:line="276" w:lineRule="auto"/>
      </w:pPr>
      <w:r>
        <w:rPr>
          <w:rFonts w:ascii="Calibri" w:hAnsi="Calibri"/>
          <w:b/>
          <w:sz w:val="22"/>
        </w:rPr>
        <w:t>3.2.2 Method 1: VADER with Financial Domain Lexicon</w:t>
      </w:r>
    </w:p>
    <w:p>
      <w:pPr>
        <w:spacing w:after="120" w:line="276" w:lineRule="auto"/>
      </w:pPr>
      <w:r>
        <w:rPr>
          <w:rFonts w:ascii="Calibri" w:hAnsi="Calibri"/>
          <w:b w:val="0"/>
          <w:sz w:val="22"/>
        </w:rPr>
        <w:t>VADER (Valence Aware Dictionary and sEntiment Reasoner; Hutto &amp; Gilbert, 2014) is a rule-based sentiment analyzer optimized for short social media text. We augment its base lexicon with 14 domain-specific financial terms to improve accuracy on financial news. Positive financial terms include: profit (+1.5), growth (+1.2), gain (+1.0), bullish (+1.8), upgrade (+1.3), and beat (+1.2). Negative financial terms include: loss (-1.5), decline (-1.2), crash (-2.0), bearish (-1.8), debt (-1.0), lawsuit (-1.5), layoff (-1.5), bankrupt (-2.5), downgrade (-1.3), and miss (-1.2). The compound sentiment score is thresholded at +/-0.05 for ternary classification (positive/neutral/negative).</w:t>
      </w:r>
    </w:p>
    <w:p>
      <w:pPr>
        <w:spacing w:after="120" w:line="276" w:lineRule="auto"/>
      </w:pPr>
      <w:r>
        <w:rPr>
          <w:rFonts w:ascii="Calibri" w:hAnsi="Calibri"/>
          <w:b/>
          <w:sz w:val="22"/>
        </w:rPr>
        <w:t>3.2.3 Method 2: TF-IDF Logistic Regression</w:t>
      </w:r>
    </w:p>
    <w:p>
      <w:pPr>
        <w:spacing w:after="120" w:line="276" w:lineRule="auto"/>
      </w:pPr>
      <w:r>
        <w:rPr>
          <w:rFonts w:ascii="Calibri" w:hAnsi="Calibri"/>
          <w:b w:val="0"/>
          <w:sz w:val="22"/>
        </w:rPr>
        <w:t>A traditional supervised learning pipeline: TF-IDF vectorization (max_features=5,000, ngram_range=(1,2), English stopwords) followed by Logistic Regression (C=1.0, max_iter=1,000, class_weight='balanced'). Since labeled financial news is unavailable a priori, cold-start training labels are generated synthetically using keyword heuristics: 8 positive keywords (e.g., profit, growth, gain, beat, upgrade, rise, positive, bullish) and 9 negative keywords (e.g., loss, decline, crash, debt, lawsuit, bankrupt, drop, negative, bearish). The model outputs the probability difference (P(positive) - P(negative)) as a continuous sentiment score in [-1, +1]. Both the trained model and TF-IDF vectorizer are serialized to disk for reuse across runs.</w:t>
      </w:r>
    </w:p>
    <w:p>
      <w:pPr>
        <w:spacing w:after="120" w:line="276" w:lineRule="auto"/>
      </w:pPr>
      <w:r>
        <w:rPr>
          <w:rFonts w:ascii="Calibri" w:hAnsi="Calibri"/>
          <w:b/>
          <w:sz w:val="22"/>
        </w:rPr>
        <w:t>3.2.4 Method 3: FinBERT (Primary)</w:t>
      </w:r>
    </w:p>
    <w:p>
      <w:pPr>
        <w:spacing w:after="120" w:line="276" w:lineRule="auto"/>
      </w:pPr>
      <w:r>
        <w:rPr>
          <w:rFonts w:ascii="Calibri" w:hAnsi="Calibri"/>
          <w:b w:val="0"/>
          <w:sz w:val="22"/>
        </w:rPr>
        <w:t>FinBERT (ProsusAI/finbert; Araci, 2019) is a BERT-base architecture fine-tuned on a comprehensive financial text corpus including SEC filings, earnings reports, and financial analyst notes. It provides three-class sentiment classification (positive/neutral/negative) with strong domain adaptation. Key implementation details: maximum sequence length of 512 tokens, mini-batch inference with batch_size=16 for GPU-efficient processing, and a continuous sentiment score computed as (probability_positive - probability_negative) in [-1, +1]. FinBERT serves as the pseudo-ground-truth reference for computing F1 scores of the other two methods. Model weights are cached globally in a singleton pattern to avoid redundant loading across tickers.</w:t>
      </w:r>
    </w:p>
    <w:p>
      <w:pPr>
        <w:spacing w:after="120" w:line="276" w:lineRule="auto"/>
      </w:pPr>
      <w:r>
        <w:rPr>
          <w:rFonts w:ascii="Calibri" w:hAnsi="Calibri"/>
          <w:b/>
          <w:sz w:val="22"/>
        </w:rPr>
        <w:t>3.2.5 Method Comparison, Aggregation &amp; Quality Metrics</w:t>
      </w:r>
    </w:p>
    <w:p>
      <w:pPr>
        <w:spacing w:after="120" w:line="276" w:lineRule="auto"/>
      </w:pPr>
      <w:r>
        <w:rPr>
          <w:rFonts w:ascii="Calibri" w:hAnsi="Calibri"/>
          <w:b w:val="0"/>
          <w:sz w:val="22"/>
        </w:rPr>
        <w:t>The Aggregator module (aggregator.py) performs three key functions: (1) Daily Aggregation: groups sentiment scores by (ticker, date, method) and computes a confidence-weighted ensemble average across all methods. (2) Inter-Rater Agreement: computes Fleiss' Kappa to quantify agreement among the three methods on ternary labels, plus pairwise Pearson correlations on continuous scores. Agreement is classified as high (kappa &gt; 0.6), moderate (kappa &gt; 0.3), or low. (3) F1 Scoring: using FinBERT labels as pseudo-ground-truth, computes per-method F1-macro, F1-positive, F1-negative, precision, and recall for VADER and LR. Neutral predictions are excluded from F1 computation to focus on directional agreement.</w:t>
      </w:r>
    </w:p>
    <w:p>
      <w:pPr>
        <w:spacing w:after="120" w:line="276" w:lineRule="auto"/>
      </w:pPr>
      <w:r>
        <w:rPr>
          <w:rFonts w:ascii="Calibri" w:hAnsi="Calibri"/>
          <w:b w:val="0"/>
          <w:sz w:val="22"/>
        </w:rPr>
        <w:t>An optional fourth method using a Large Language Model (Volcano Engine Doubao, accessed via OpenAI-compatible API with few-shot prompting and temperature=0.1) is implemented in sentiment_llm.py but excluded from the production pipeline (SENTIMENT_METHODS list in config.py) due to API latency (~2-5 seconds per article), cost considerations, and rate-limit constraints (limited to 10 articles per ticker when enabled).</w:t>
      </w:r>
    </w:p>
    <w:p>
      <w:pPr>
        <w:pStyle w:val="Heading2"/>
      </w:pPr>
      <w:r>
        <w:rPr>
          <w:rFonts w:ascii="Calibri" w:hAnsi="Calibri"/>
        </w:rPr>
        <w:t>3.3 Module 3 - Data Storage &amp; Persistence</w:t>
      </w:r>
    </w:p>
    <w:p>
      <w:pPr>
        <w:spacing w:after="120" w:line="276" w:lineRule="auto"/>
      </w:pPr>
      <w:r>
        <w:rPr>
          <w:rFonts w:ascii="Calibri" w:hAnsi="Calibri"/>
          <w:b w:val="0"/>
          <w:sz w:val="22"/>
        </w:rPr>
        <w:t>The Data Storage module uses SQLite with WAL (Write-Ahead Logging) journal mode and foreign key constraints enabled. SQLite was selected for its zero-configuration deployment, cross-platform portability, and sufficient performance for the project's data volume (~10^5 rows across all tables). The database is stored at 'data/trading.db' relative to the project root.</w:t>
      </w:r>
    </w:p>
    <w:p>
      <w:pPr>
        <w:spacing w:after="120" w:line="276" w:lineRule="auto"/>
      </w:pPr>
      <w:r>
        <w:rPr>
          <w:rFonts w:ascii="Calibri" w:hAnsi="Calibri"/>
          <w:b/>
          <w:sz w:val="22"/>
        </w:rPr>
        <w:t>Database Schema (6 Tables):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b/>
                <w:sz w:val="19"/>
              </w:rPr>
              <w:t>Table Name</w:t>
            </w:r>
          </w:p>
        </w:tc>
        <w:tc>
          <w:tcPr>
            <w:tcW w:type="dxa" w:w="2160"/>
          </w:tcPr>
          <w:p>
            <w:pPr>
              <w:jc w:val="center"/>
            </w:pPr>
            <w:r>
              <w:rPr>
                <w:rFonts w:ascii="Calibri" w:hAnsi="Calibri"/>
                <w:b/>
                <w:sz w:val="19"/>
              </w:rPr>
              <w:t>Primary Keys / Columns</w:t>
            </w:r>
          </w:p>
        </w:tc>
        <w:tc>
          <w:tcPr>
            <w:tcW w:type="dxa" w:w="2160"/>
          </w:tcPr>
          <w:p>
            <w:pPr>
              <w:jc w:val="center"/>
            </w:pPr>
            <w:r>
              <w:rPr>
                <w:rFonts w:ascii="Calibri" w:hAnsi="Calibri"/>
                <w:b/>
                <w:sz w:val="19"/>
              </w:rPr>
              <w:t>Uniqueness Constraint</w:t>
            </w:r>
          </w:p>
        </w:tc>
        <w:tc>
          <w:tcPr>
            <w:tcW w:type="dxa" w:w="2160"/>
          </w:tcPr>
          <w:p>
            <w:pPr>
              <w:jc w:val="center"/>
            </w:pPr>
            <w:r>
              <w:rPr>
                <w:rFonts w:ascii="Calibri" w:hAnsi="Calibri"/>
                <w:b/>
                <w:sz w:val="19"/>
              </w:rPr>
              <w:t>Stored Data</w:t>
            </w:r>
          </w:p>
        </w:tc>
      </w:tr>
      <w:tr>
        <w:tc>
          <w:tcPr>
            <w:tcW w:type="dxa" w:w="2160"/>
          </w:tcPr>
          <w:p>
            <w:r>
              <w:rPr>
                <w:rFonts w:ascii="Calibri" w:hAnsi="Calibri"/>
                <w:sz w:val="18"/>
              </w:rPr>
              <w:t>news</w:t>
            </w:r>
          </w:p>
        </w:tc>
        <w:tc>
          <w:tcPr>
            <w:tcW w:type="dxa" w:w="2160"/>
          </w:tcPr>
          <w:p>
            <w:r>
              <w:rPr>
                <w:rFonts w:ascii="Calibri" w:hAnsi="Calibri"/>
                <w:sz w:val="18"/>
              </w:rPr>
              <w:t>id, ticker, source, title,</w:t>
              <w:br/>
              <w:t>content, url, published_at,</w:t>
              <w:br/>
              <w:t>fetched_at</w:t>
            </w:r>
          </w:p>
        </w:tc>
        <w:tc>
          <w:tcPr>
            <w:tcW w:type="dxa" w:w="2160"/>
          </w:tcPr>
          <w:p>
            <w:r>
              <w:rPr>
                <w:rFonts w:ascii="Calibri" w:hAnsi="Calibri"/>
                <w:sz w:val="18"/>
              </w:rPr>
              <w:t>UNIQUE(url)</w:t>
            </w:r>
          </w:p>
        </w:tc>
        <w:tc>
          <w:tcPr>
            <w:tcW w:type="dxa" w:w="2160"/>
          </w:tcPr>
          <w:p>
            <w:r>
              <w:rPr>
                <w:rFonts w:ascii="Calibri" w:hAnsi="Calibri"/>
                <w:sz w:val="18"/>
              </w:rPr>
              <w:t>Raw news articles with</w:t>
              <w:br/>
              <w:t>metadata and full text</w:t>
            </w:r>
          </w:p>
        </w:tc>
      </w:tr>
      <w:tr>
        <w:tc>
          <w:tcPr>
            <w:tcW w:type="dxa" w:w="2160"/>
          </w:tcPr>
          <w:p>
            <w:r>
              <w:rPr>
                <w:rFonts w:ascii="Calibri" w:hAnsi="Calibri"/>
                <w:sz w:val="18"/>
              </w:rPr>
              <w:t>market_data</w:t>
            </w:r>
          </w:p>
        </w:tc>
        <w:tc>
          <w:tcPr>
            <w:tcW w:type="dxa" w:w="2160"/>
          </w:tcPr>
          <w:p>
            <w:r>
              <w:rPr>
                <w:rFonts w:ascii="Calibri" w:hAnsi="Calibri"/>
                <w:sz w:val="18"/>
              </w:rPr>
              <w:t>id, ticker, date,</w:t>
              <w:br/>
              <w:t>open, high, low, close,</w:t>
              <w:br/>
              <w:t>volume, adjusted_close</w:t>
            </w:r>
          </w:p>
        </w:tc>
        <w:tc>
          <w:tcPr>
            <w:tcW w:type="dxa" w:w="2160"/>
          </w:tcPr>
          <w:p>
            <w:r>
              <w:rPr>
                <w:rFonts w:ascii="Calibri" w:hAnsi="Calibri"/>
                <w:sz w:val="18"/>
              </w:rPr>
              <w:t>UNIQUE(ticker, date)</w:t>
            </w:r>
          </w:p>
        </w:tc>
        <w:tc>
          <w:tcPr>
            <w:tcW w:type="dxa" w:w="2160"/>
          </w:tcPr>
          <w:p>
            <w:r>
              <w:rPr>
                <w:rFonts w:ascii="Calibri" w:hAnsi="Calibri"/>
                <w:sz w:val="18"/>
              </w:rPr>
              <w:t>Daily OHLCV price bars</w:t>
              <w:br/>
              <w:t>for all 28 tickers</w:t>
            </w:r>
          </w:p>
        </w:tc>
      </w:tr>
      <w:tr>
        <w:tc>
          <w:tcPr>
            <w:tcW w:type="dxa" w:w="2160"/>
          </w:tcPr>
          <w:p>
            <w:r>
              <w:rPr>
                <w:rFonts w:ascii="Calibri" w:hAnsi="Calibri"/>
                <w:sz w:val="18"/>
              </w:rPr>
              <w:t>sentiment_signals</w:t>
            </w:r>
          </w:p>
        </w:tc>
        <w:tc>
          <w:tcPr>
            <w:tcW w:type="dxa" w:w="2160"/>
          </w:tcPr>
          <w:p>
            <w:r>
              <w:rPr>
                <w:rFonts w:ascii="Calibri" w:hAnsi="Calibri"/>
                <w:sz w:val="18"/>
              </w:rPr>
              <w:t>id, ticker, date, method,</w:t>
              <w:br/>
              <w:t>sentiment_score, confidence,</w:t>
              <w:br/>
              <w:t>label, reasoning</w:t>
            </w:r>
          </w:p>
        </w:tc>
        <w:tc>
          <w:tcPr>
            <w:tcW w:type="dxa" w:w="2160"/>
          </w:tcPr>
          <w:p>
            <w:r>
              <w:rPr>
                <w:rFonts w:ascii="Calibri" w:hAnsi="Calibri"/>
                <w:sz w:val="18"/>
              </w:rPr>
              <w:t>UNIQUE(ticker, date,</w:t>
              <w:br/>
              <w:t>method)</w:t>
            </w:r>
          </w:p>
        </w:tc>
        <w:tc>
          <w:tcPr>
            <w:tcW w:type="dxa" w:w="2160"/>
          </w:tcPr>
          <w:p>
            <w:r>
              <w:rPr>
                <w:rFonts w:ascii="Calibri" w:hAnsi="Calibri"/>
                <w:sz w:val="18"/>
              </w:rPr>
              <w:t>Per-method daily</w:t>
              <w:br/>
              <w:t>sentiment scores</w:t>
            </w:r>
          </w:p>
        </w:tc>
      </w:tr>
      <w:tr>
        <w:tc>
          <w:tcPr>
            <w:tcW w:type="dxa" w:w="2160"/>
          </w:tcPr>
          <w:p>
            <w:r>
              <w:rPr>
                <w:rFonts w:ascii="Calibri" w:hAnsi="Calibri"/>
                <w:sz w:val="18"/>
              </w:rPr>
              <w:t>llm_analysis_cache</w:t>
            </w:r>
          </w:p>
        </w:tc>
        <w:tc>
          <w:tcPr>
            <w:tcW w:type="dxa" w:w="2160"/>
          </w:tcPr>
          <w:p>
            <w:r>
              <w:rPr>
                <w:rFonts w:ascii="Calibri" w:hAnsi="Calibri"/>
                <w:sz w:val="18"/>
              </w:rPr>
              <w:t>id, title_hash, title,</w:t>
              <w:br/>
              <w:t>sentiment_score, confidence,</w:t>
              <w:br/>
              <w:t>label, reasoning, model_used,</w:t>
              <w:br/>
              <w:t>created_at</w:t>
            </w:r>
          </w:p>
        </w:tc>
        <w:tc>
          <w:tcPr>
            <w:tcW w:type="dxa" w:w="2160"/>
          </w:tcPr>
          <w:p>
            <w:r>
              <w:rPr>
                <w:rFonts w:ascii="Calibri" w:hAnsi="Calibri"/>
                <w:sz w:val="18"/>
              </w:rPr>
              <w:t>UNIQUE(title_hash)</w:t>
            </w:r>
          </w:p>
        </w:tc>
        <w:tc>
          <w:tcPr>
            <w:tcW w:type="dxa" w:w="2160"/>
          </w:tcPr>
          <w:p>
            <w:r>
              <w:rPr>
                <w:rFonts w:ascii="Calibri" w:hAnsi="Calibri"/>
                <w:sz w:val="18"/>
              </w:rPr>
              <w:t>LLM analysis results</w:t>
              <w:br/>
              <w:t>cached by content hash</w:t>
            </w:r>
          </w:p>
        </w:tc>
      </w:tr>
      <w:tr>
        <w:tc>
          <w:tcPr>
            <w:tcW w:type="dxa" w:w="2160"/>
          </w:tcPr>
          <w:p>
            <w:r>
              <w:rPr>
                <w:rFonts w:ascii="Calibri" w:hAnsi="Calibri"/>
                <w:sz w:val="18"/>
              </w:rPr>
              <w:t>trading_logs</w:t>
            </w:r>
          </w:p>
        </w:tc>
        <w:tc>
          <w:tcPr>
            <w:tcW w:type="dxa" w:w="2160"/>
          </w:tcPr>
          <w:p>
            <w:r>
              <w:rPr>
                <w:rFonts w:ascii="Calibri" w:hAnsi="Calibri"/>
                <w:sz w:val="18"/>
              </w:rPr>
              <w:t>id, episode, step, ticker,</w:t>
              <w:br/>
              <w:t>date, action, price, position,</w:t>
              <w:br/>
              <w:t>cash, portfolio_value,</w:t>
              <w:br/>
              <w:t>sentiment_score, reward,</w:t>
              <w:br/>
              <w:t>timestamp</w:t>
            </w:r>
          </w:p>
        </w:tc>
        <w:tc>
          <w:tcPr>
            <w:tcW w:type="dxa" w:w="2160"/>
          </w:tcPr>
          <w:p>
            <w:r>
              <w:rPr>
                <w:rFonts w:ascii="Calibri" w:hAnsi="Calibri"/>
                <w:sz w:val="18"/>
              </w:rPr>
              <w:t>None (append-only log)</w:t>
            </w:r>
          </w:p>
        </w:tc>
        <w:tc>
          <w:tcPr>
            <w:tcW w:type="dxa" w:w="2160"/>
          </w:tcPr>
          <w:p>
            <w:r>
              <w:rPr>
                <w:rFonts w:ascii="Calibri" w:hAnsi="Calibri"/>
                <w:sz w:val="18"/>
              </w:rPr>
              <w:t>Step-by-step RL training</w:t>
              <w:br/>
              <w:t>trajectories</w:t>
            </w:r>
          </w:p>
        </w:tc>
      </w:tr>
      <w:tr>
        <w:tc>
          <w:tcPr>
            <w:tcW w:type="dxa" w:w="2160"/>
          </w:tcPr>
          <w:p>
            <w:r>
              <w:rPr>
                <w:rFonts w:ascii="Calibri" w:hAnsi="Calibri"/>
                <w:sz w:val="18"/>
              </w:rPr>
              <w:t>trade_orders</w:t>
            </w:r>
          </w:p>
        </w:tc>
        <w:tc>
          <w:tcPr>
            <w:tcW w:type="dxa" w:w="2160"/>
          </w:tcPr>
          <w:p>
            <w:r>
              <w:rPr>
                <w:rFonts w:ascii="Calibri" w:hAnsi="Calibri"/>
                <w:sz w:val="18"/>
              </w:rPr>
              <w:t>id, ticker, date, action,</w:t>
              <w:br/>
              <w:t>shares, price, cost,</w:t>
              <w:br/>
              <w:t>portfolio_value_after,</w:t>
              <w:br/>
              <w:t>timestamp</w:t>
            </w:r>
          </w:p>
        </w:tc>
        <w:tc>
          <w:tcPr>
            <w:tcW w:type="dxa" w:w="2160"/>
          </w:tcPr>
          <w:p>
            <w:r>
              <w:rPr>
                <w:rFonts w:ascii="Calibri" w:hAnsi="Calibri"/>
                <w:sz w:val="18"/>
              </w:rPr>
              <w:t>None (append-only log)</w:t>
            </w:r>
          </w:p>
        </w:tc>
        <w:tc>
          <w:tcPr>
            <w:tcW w:type="dxa" w:w="2160"/>
          </w:tcPr>
          <w:p>
            <w:r>
              <w:rPr>
                <w:rFonts w:ascii="Calibri" w:hAnsi="Calibri"/>
                <w:sz w:val="18"/>
              </w:rPr>
              <w:t>Paper trading execution</w:t>
              <w:br/>
              <w:t>records</w:t>
            </w:r>
          </w:p>
        </w:tc>
      </w:tr>
    </w:tbl>
    <w:p/>
    <w:p>
      <w:pPr>
        <w:spacing w:after="120" w:line="276" w:lineRule="auto"/>
      </w:pPr>
      <w:r>
        <w:rPr>
          <w:rFonts w:ascii="Calibri" w:hAnsi="Calibri"/>
          <w:b w:val="0"/>
          <w:sz w:val="22"/>
        </w:rPr>
        <w:t>The DatabaseManager class (db_manager.py) provides a unified interface with methods for each table: insert_news(), insert_market_data(), upsert_sentiment(), insert_trading_log(), insert_trade_order(), and corresponding get_*() query methods returning pandas DataFrames. All insert operations use INSERT OR IGNORE/REPLACE semantics to guarantee idempotent data ingestion across pipeline re-runs.</w:t>
      </w:r>
    </w:p>
    <w:p>
      <w:pPr>
        <w:spacing w:after="120" w:line="276" w:lineRule="auto"/>
      </w:pPr>
      <w:r>
        <w:rPr>
          <w:rFonts w:ascii="Calibri" w:hAnsi="Calibri"/>
          <w:b w:val="0"/>
          <w:sz w:val="22"/>
        </w:rPr>
        <w:t>Complementing the relational store, a ChromaDB vector database (chroma_store.py) indexes news article embeddings using the all-MiniLM-L6-v2 sentence transformer model with cosine similarity (HNSW index space). This enables semantic search over the news corpus, powering the Retrieval-Augmented Generation (RAG) pipeline in the dashboard's AI Chat Assistant. The vector store supports batched upsert operations and ticker-filtered queries.</w:t>
      </w:r>
    </w:p>
    <w:p>
      <w:pPr>
        <w:pStyle w:val="Heading2"/>
      </w:pPr>
      <w:r>
        <w:rPr>
          <w:rFonts w:ascii="Calibri" w:hAnsi="Calibri"/>
        </w:rPr>
        <w:t>3.4 Module 4 - RL Trading Engine</w:t>
      </w:r>
    </w:p>
    <w:p>
      <w:pPr>
        <w:spacing w:after="120" w:line="276" w:lineRule="auto"/>
      </w:pPr>
      <w:r>
        <w:rPr>
          <w:rFonts w:ascii="Calibri" w:hAnsi="Calibri"/>
          <w:b w:val="0"/>
          <w:sz w:val="22"/>
        </w:rPr>
        <w:t>The RL Trading Engine is the core decision-making component of the platform. It implements a Double Deep Q-Network (DDQN) entirely from scratch using PyTorch - no external RL libraries such as Stable-Baselines3 or RLlib are used, satisfying the course requirement for custom DQN implementation.</w:t>
      </w:r>
    </w:p>
    <w:p>
      <w:pPr>
        <w:spacing w:after="120" w:line="276" w:lineRule="auto"/>
      </w:pPr>
      <w:r>
        <w:rPr>
          <w:rFonts w:ascii="Calibri" w:hAnsi="Calibri"/>
          <w:b/>
          <w:sz w:val="22"/>
        </w:rPr>
        <w:t>3.4.1 State Vector Design</w:t>
      </w:r>
    </w:p>
    <w:p>
      <w:pPr>
        <w:spacing w:after="120" w:line="276" w:lineRule="auto"/>
      </w:pPr>
      <w:r>
        <w:rPr>
          <w:rFonts w:ascii="Calibri" w:hAnsi="Calibri"/>
          <w:b w:val="0"/>
          <w:sz w:val="22"/>
        </w:rPr>
        <w:t>The FinancialTradingEnv (a custom gym.Env subclass defined in env.py) constructs an 11-dimensional state vector at each time step by combining technical indicators derived from OHLCV data with sentiment features from Module 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Calibri" w:hAnsi="Calibri"/>
                <w:b/>
                <w:sz w:val="19"/>
              </w:rPr>
              <w:t>Dim</w:t>
            </w:r>
          </w:p>
        </w:tc>
        <w:tc>
          <w:tcPr>
            <w:tcW w:type="dxa" w:w="1728"/>
          </w:tcPr>
          <w:p>
            <w:pPr>
              <w:jc w:val="center"/>
            </w:pPr>
            <w:r>
              <w:rPr>
                <w:rFonts w:ascii="Calibri" w:hAnsi="Calibri"/>
                <w:b/>
                <w:sz w:val="19"/>
              </w:rPr>
              <w:t>Feature Name</w:t>
            </w:r>
          </w:p>
        </w:tc>
        <w:tc>
          <w:tcPr>
            <w:tcW w:type="dxa" w:w="1728"/>
          </w:tcPr>
          <w:p>
            <w:pPr>
              <w:jc w:val="center"/>
            </w:pPr>
            <w:r>
              <w:rPr>
                <w:rFonts w:ascii="Calibri" w:hAnsi="Calibri"/>
                <w:b/>
                <w:sz w:val="19"/>
              </w:rPr>
              <w:t>Formula / Source</w:t>
            </w:r>
          </w:p>
        </w:tc>
        <w:tc>
          <w:tcPr>
            <w:tcW w:type="dxa" w:w="1728"/>
          </w:tcPr>
          <w:p>
            <w:pPr>
              <w:jc w:val="center"/>
            </w:pPr>
            <w:r>
              <w:rPr>
                <w:rFonts w:ascii="Calibri" w:hAnsi="Calibri"/>
                <w:b/>
                <w:sz w:val="19"/>
              </w:rPr>
              <w:t>Range</w:t>
            </w:r>
          </w:p>
        </w:tc>
        <w:tc>
          <w:tcPr>
            <w:tcW w:type="dxa" w:w="1728"/>
          </w:tcPr>
          <w:p>
            <w:pPr>
              <w:jc w:val="center"/>
            </w:pPr>
            <w:r>
              <w:rPr>
                <w:rFonts w:ascii="Calibri" w:hAnsi="Calibri"/>
                <w:b/>
                <w:sz w:val="19"/>
              </w:rPr>
              <w:t>Information Captured</w:t>
            </w:r>
          </w:p>
        </w:tc>
      </w:tr>
      <w:tr>
        <w:tc>
          <w:tcPr>
            <w:tcW w:type="dxa" w:w="1728"/>
          </w:tcPr>
          <w:p>
            <w:r>
              <w:rPr>
                <w:rFonts w:ascii="Calibri" w:hAnsi="Calibri"/>
                <w:sz w:val="18"/>
              </w:rPr>
              <w:t>0</w:t>
            </w:r>
          </w:p>
        </w:tc>
        <w:tc>
          <w:tcPr>
            <w:tcW w:type="dxa" w:w="1728"/>
          </w:tcPr>
          <w:p>
            <w:r>
              <w:rPr>
                <w:rFonts w:ascii="Calibri" w:hAnsi="Calibri"/>
                <w:sz w:val="18"/>
              </w:rPr>
              <w:t>price_ratio</w:t>
            </w:r>
          </w:p>
        </w:tc>
        <w:tc>
          <w:tcPr>
            <w:tcW w:type="dxa" w:w="1728"/>
          </w:tcPr>
          <w:p>
            <w:r>
              <w:rPr>
                <w:rFonts w:ascii="Calibri" w:hAnsi="Calibri"/>
                <w:sz w:val="18"/>
              </w:rPr>
              <w:t>close / initial_close</w:t>
            </w:r>
          </w:p>
        </w:tc>
        <w:tc>
          <w:tcPr>
            <w:tcW w:type="dxa" w:w="1728"/>
          </w:tcPr>
          <w:p>
            <w:r>
              <w:rPr>
                <w:rFonts w:ascii="Calibri" w:hAnsi="Calibri"/>
                <w:sz w:val="18"/>
              </w:rPr>
              <w:t>~[0.5, 2.0]</w:t>
            </w:r>
          </w:p>
        </w:tc>
        <w:tc>
          <w:tcPr>
            <w:tcW w:type="dxa" w:w="1728"/>
          </w:tcPr>
          <w:p>
            <w:r>
              <w:rPr>
                <w:rFonts w:ascii="Calibri" w:hAnsi="Calibri"/>
                <w:sz w:val="18"/>
              </w:rPr>
              <w:t>Normalized absolute price level</w:t>
            </w:r>
          </w:p>
        </w:tc>
      </w:tr>
      <w:tr>
        <w:tc>
          <w:tcPr>
            <w:tcW w:type="dxa" w:w="1728"/>
          </w:tcPr>
          <w:p>
            <w:r>
              <w:rPr>
                <w:rFonts w:ascii="Calibri" w:hAnsi="Calibri"/>
                <w:sz w:val="18"/>
              </w:rPr>
              <w:t>1</w:t>
            </w:r>
          </w:p>
        </w:tc>
        <w:tc>
          <w:tcPr>
            <w:tcW w:type="dxa" w:w="1728"/>
          </w:tcPr>
          <w:p>
            <w:r>
              <w:rPr>
                <w:rFonts w:ascii="Calibri" w:hAnsi="Calibri"/>
                <w:sz w:val="18"/>
              </w:rPr>
              <w:t>MA50_ratio</w:t>
            </w:r>
          </w:p>
        </w:tc>
        <w:tc>
          <w:tcPr>
            <w:tcW w:type="dxa" w:w="1728"/>
          </w:tcPr>
          <w:p>
            <w:r>
              <w:rPr>
                <w:rFonts w:ascii="Calibri" w:hAnsi="Calibri"/>
                <w:sz w:val="18"/>
              </w:rPr>
              <w:t>MA(50) / close</w:t>
            </w:r>
          </w:p>
        </w:tc>
        <w:tc>
          <w:tcPr>
            <w:tcW w:type="dxa" w:w="1728"/>
          </w:tcPr>
          <w:p>
            <w:r>
              <w:rPr>
                <w:rFonts w:ascii="Calibri" w:hAnsi="Calibri"/>
                <w:sz w:val="18"/>
              </w:rPr>
              <w:t>~[0.8, 1.2]</w:t>
            </w:r>
          </w:p>
        </w:tc>
        <w:tc>
          <w:tcPr>
            <w:tcW w:type="dxa" w:w="1728"/>
          </w:tcPr>
          <w:p>
            <w:r>
              <w:rPr>
                <w:rFonts w:ascii="Calibri" w:hAnsi="Calibri"/>
                <w:sz w:val="18"/>
              </w:rPr>
              <w:t>Short-term trend deviation</w:t>
            </w:r>
          </w:p>
        </w:tc>
      </w:tr>
      <w:tr>
        <w:tc>
          <w:tcPr>
            <w:tcW w:type="dxa" w:w="1728"/>
          </w:tcPr>
          <w:p>
            <w:r>
              <w:rPr>
                <w:rFonts w:ascii="Calibri" w:hAnsi="Calibri"/>
                <w:sz w:val="18"/>
              </w:rPr>
              <w:t>2</w:t>
            </w:r>
          </w:p>
        </w:tc>
        <w:tc>
          <w:tcPr>
            <w:tcW w:type="dxa" w:w="1728"/>
          </w:tcPr>
          <w:p>
            <w:r>
              <w:rPr>
                <w:rFonts w:ascii="Calibri" w:hAnsi="Calibri"/>
                <w:sz w:val="18"/>
              </w:rPr>
              <w:t>MA200_ratio</w:t>
            </w:r>
          </w:p>
        </w:tc>
        <w:tc>
          <w:tcPr>
            <w:tcW w:type="dxa" w:w="1728"/>
          </w:tcPr>
          <w:p>
            <w:r>
              <w:rPr>
                <w:rFonts w:ascii="Calibri" w:hAnsi="Calibri"/>
                <w:sz w:val="18"/>
              </w:rPr>
              <w:t>MA(200) / close</w:t>
            </w:r>
          </w:p>
        </w:tc>
        <w:tc>
          <w:tcPr>
            <w:tcW w:type="dxa" w:w="1728"/>
          </w:tcPr>
          <w:p>
            <w:r>
              <w:rPr>
                <w:rFonts w:ascii="Calibri" w:hAnsi="Calibri"/>
                <w:sz w:val="18"/>
              </w:rPr>
              <w:t>~[0.7, 1.3]</w:t>
            </w:r>
          </w:p>
        </w:tc>
        <w:tc>
          <w:tcPr>
            <w:tcW w:type="dxa" w:w="1728"/>
          </w:tcPr>
          <w:p>
            <w:r>
              <w:rPr>
                <w:rFonts w:ascii="Calibri" w:hAnsi="Calibri"/>
                <w:sz w:val="18"/>
              </w:rPr>
              <w:t>Long-term trend deviation</w:t>
            </w:r>
          </w:p>
        </w:tc>
      </w:tr>
      <w:tr>
        <w:tc>
          <w:tcPr>
            <w:tcW w:type="dxa" w:w="1728"/>
          </w:tcPr>
          <w:p>
            <w:r>
              <w:rPr>
                <w:rFonts w:ascii="Calibri" w:hAnsi="Calibri"/>
                <w:sz w:val="18"/>
              </w:rPr>
              <w:t>3</w:t>
            </w:r>
          </w:p>
        </w:tc>
        <w:tc>
          <w:tcPr>
            <w:tcW w:type="dxa" w:w="1728"/>
          </w:tcPr>
          <w:p>
            <w:r>
              <w:rPr>
                <w:rFonts w:ascii="Calibri" w:hAnsi="Calibri"/>
                <w:sz w:val="18"/>
              </w:rPr>
              <w:t>RSI_norm</w:t>
            </w:r>
          </w:p>
        </w:tc>
        <w:tc>
          <w:tcPr>
            <w:tcW w:type="dxa" w:w="1728"/>
          </w:tcPr>
          <w:p>
            <w:r>
              <w:rPr>
                <w:rFonts w:ascii="Calibri" w:hAnsi="Calibri"/>
                <w:sz w:val="18"/>
              </w:rPr>
              <w:t>RSI(14) / 100</w:t>
            </w:r>
          </w:p>
        </w:tc>
        <w:tc>
          <w:tcPr>
            <w:tcW w:type="dxa" w:w="1728"/>
          </w:tcPr>
          <w:p>
            <w:r>
              <w:rPr>
                <w:rFonts w:ascii="Calibri" w:hAnsi="Calibri"/>
                <w:sz w:val="18"/>
              </w:rPr>
              <w:t>[0, 1]</w:t>
            </w:r>
          </w:p>
        </w:tc>
        <w:tc>
          <w:tcPr>
            <w:tcW w:type="dxa" w:w="1728"/>
          </w:tcPr>
          <w:p>
            <w:r>
              <w:rPr>
                <w:rFonts w:ascii="Calibri" w:hAnsi="Calibri"/>
                <w:sz w:val="18"/>
              </w:rPr>
              <w:t>Momentum: overbought/oversold</w:t>
            </w:r>
          </w:p>
        </w:tc>
      </w:tr>
      <w:tr>
        <w:tc>
          <w:tcPr>
            <w:tcW w:type="dxa" w:w="1728"/>
          </w:tcPr>
          <w:p>
            <w:r>
              <w:rPr>
                <w:rFonts w:ascii="Calibri" w:hAnsi="Calibri"/>
                <w:sz w:val="18"/>
              </w:rPr>
              <w:t>4</w:t>
            </w:r>
          </w:p>
        </w:tc>
        <w:tc>
          <w:tcPr>
            <w:tcW w:type="dxa" w:w="1728"/>
          </w:tcPr>
          <w:p>
            <w:r>
              <w:rPr>
                <w:rFonts w:ascii="Calibri" w:hAnsi="Calibri"/>
                <w:sz w:val="18"/>
              </w:rPr>
              <w:t>MACD_ratio</w:t>
            </w:r>
          </w:p>
        </w:tc>
        <w:tc>
          <w:tcPr>
            <w:tcW w:type="dxa" w:w="1728"/>
          </w:tcPr>
          <w:p>
            <w:r>
              <w:rPr>
                <w:rFonts w:ascii="Calibri" w:hAnsi="Calibri"/>
                <w:sz w:val="18"/>
              </w:rPr>
              <w:t>MACD(12,26,9) / close</w:t>
            </w:r>
          </w:p>
        </w:tc>
        <w:tc>
          <w:tcPr>
            <w:tcW w:type="dxa" w:w="1728"/>
          </w:tcPr>
          <w:p>
            <w:r>
              <w:rPr>
                <w:rFonts w:ascii="Calibri" w:hAnsi="Calibri"/>
                <w:sz w:val="18"/>
              </w:rPr>
              <w:t>~[-0.1, 0.1]</w:t>
            </w:r>
          </w:p>
        </w:tc>
        <w:tc>
          <w:tcPr>
            <w:tcW w:type="dxa" w:w="1728"/>
          </w:tcPr>
          <w:p>
            <w:r>
              <w:rPr>
                <w:rFonts w:ascii="Calibri" w:hAnsi="Calibri"/>
                <w:sz w:val="18"/>
              </w:rPr>
              <w:t>Trend strength and direction</w:t>
            </w:r>
          </w:p>
        </w:tc>
      </w:tr>
      <w:tr>
        <w:tc>
          <w:tcPr>
            <w:tcW w:type="dxa" w:w="1728"/>
          </w:tcPr>
          <w:p>
            <w:r>
              <w:rPr>
                <w:rFonts w:ascii="Calibri" w:hAnsi="Calibri"/>
                <w:sz w:val="18"/>
              </w:rPr>
              <w:t>5</w:t>
            </w:r>
          </w:p>
        </w:tc>
        <w:tc>
          <w:tcPr>
            <w:tcW w:type="dxa" w:w="1728"/>
          </w:tcPr>
          <w:p>
            <w:r>
              <w:rPr>
                <w:rFonts w:ascii="Calibri" w:hAnsi="Calibri"/>
                <w:sz w:val="18"/>
              </w:rPr>
              <w:t>position_pct</w:t>
            </w:r>
          </w:p>
        </w:tc>
        <w:tc>
          <w:tcPr>
            <w:tcW w:type="dxa" w:w="1728"/>
          </w:tcPr>
          <w:p>
            <w:r>
              <w:rPr>
                <w:rFonts w:ascii="Calibri" w:hAnsi="Calibri"/>
                <w:sz w:val="18"/>
              </w:rPr>
              <w:t>position_value / portfolio_total</w:t>
            </w:r>
          </w:p>
        </w:tc>
        <w:tc>
          <w:tcPr>
            <w:tcW w:type="dxa" w:w="1728"/>
          </w:tcPr>
          <w:p>
            <w:r>
              <w:rPr>
                <w:rFonts w:ascii="Calibri" w:hAnsi="Calibri"/>
                <w:sz w:val="18"/>
              </w:rPr>
              <w:t>[0, 0.25]</w:t>
            </w:r>
          </w:p>
        </w:tc>
        <w:tc>
          <w:tcPr>
            <w:tcW w:type="dxa" w:w="1728"/>
          </w:tcPr>
          <w:p>
            <w:r>
              <w:rPr>
                <w:rFonts w:ascii="Calibri" w:hAnsi="Calibri"/>
                <w:sz w:val="18"/>
              </w:rPr>
              <w:t>Current stock exposure</w:t>
            </w:r>
          </w:p>
        </w:tc>
      </w:tr>
      <w:tr>
        <w:tc>
          <w:tcPr>
            <w:tcW w:type="dxa" w:w="1728"/>
          </w:tcPr>
          <w:p>
            <w:r>
              <w:rPr>
                <w:rFonts w:ascii="Calibri" w:hAnsi="Calibri"/>
                <w:sz w:val="18"/>
              </w:rPr>
              <w:t>6</w:t>
            </w:r>
          </w:p>
        </w:tc>
        <w:tc>
          <w:tcPr>
            <w:tcW w:type="dxa" w:w="1728"/>
          </w:tcPr>
          <w:p>
            <w:r>
              <w:rPr>
                <w:rFonts w:ascii="Calibri" w:hAnsi="Calibri"/>
                <w:sz w:val="18"/>
              </w:rPr>
              <w:t>cash_pct</w:t>
            </w:r>
          </w:p>
        </w:tc>
        <w:tc>
          <w:tcPr>
            <w:tcW w:type="dxa" w:w="1728"/>
          </w:tcPr>
          <w:p>
            <w:r>
              <w:rPr>
                <w:rFonts w:ascii="Calibri" w:hAnsi="Calibri"/>
                <w:sz w:val="18"/>
              </w:rPr>
              <w:t>cash / portfolio_total</w:t>
            </w:r>
          </w:p>
        </w:tc>
        <w:tc>
          <w:tcPr>
            <w:tcW w:type="dxa" w:w="1728"/>
          </w:tcPr>
          <w:p>
            <w:r>
              <w:rPr>
                <w:rFonts w:ascii="Calibri" w:hAnsi="Calibri"/>
                <w:sz w:val="18"/>
              </w:rPr>
              <w:t>[0, 1]</w:t>
            </w:r>
          </w:p>
        </w:tc>
        <w:tc>
          <w:tcPr>
            <w:tcW w:type="dxa" w:w="1728"/>
          </w:tcPr>
          <w:p>
            <w:r>
              <w:rPr>
                <w:rFonts w:ascii="Calibri" w:hAnsi="Calibri"/>
                <w:sz w:val="18"/>
              </w:rPr>
              <w:t>Available liquidity buffer</w:t>
            </w:r>
          </w:p>
        </w:tc>
      </w:tr>
      <w:tr>
        <w:tc>
          <w:tcPr>
            <w:tcW w:type="dxa" w:w="1728"/>
          </w:tcPr>
          <w:p>
            <w:r>
              <w:rPr>
                <w:rFonts w:ascii="Calibri" w:hAnsi="Calibri"/>
                <w:sz w:val="18"/>
              </w:rPr>
              <w:t>7</w:t>
            </w:r>
          </w:p>
        </w:tc>
        <w:tc>
          <w:tcPr>
            <w:tcW w:type="dxa" w:w="1728"/>
          </w:tcPr>
          <w:p>
            <w:r>
              <w:rPr>
                <w:rFonts w:ascii="Calibri" w:hAnsi="Calibri"/>
                <w:sz w:val="18"/>
              </w:rPr>
              <w:t>sentiment_score</w:t>
            </w:r>
          </w:p>
        </w:tc>
        <w:tc>
          <w:tcPr>
            <w:tcW w:type="dxa" w:w="1728"/>
          </w:tcPr>
          <w:p>
            <w:r>
              <w:rPr>
                <w:rFonts w:ascii="Calibri" w:hAnsi="Calibri"/>
                <w:sz w:val="18"/>
              </w:rPr>
              <w:t>NLP ensemble (Module 2)</w:t>
            </w:r>
          </w:p>
        </w:tc>
        <w:tc>
          <w:tcPr>
            <w:tcW w:type="dxa" w:w="1728"/>
          </w:tcPr>
          <w:p>
            <w:r>
              <w:rPr>
                <w:rFonts w:ascii="Calibri" w:hAnsi="Calibri"/>
                <w:sz w:val="18"/>
              </w:rPr>
              <w:t>[-1, +1]</w:t>
            </w:r>
          </w:p>
        </w:tc>
        <w:tc>
          <w:tcPr>
            <w:tcW w:type="dxa" w:w="1728"/>
          </w:tcPr>
          <w:p>
            <w:r>
              <w:rPr>
                <w:rFonts w:ascii="Calibri" w:hAnsi="Calibri"/>
                <w:sz w:val="18"/>
              </w:rPr>
              <w:t>Raw NLP signal</w:t>
            </w:r>
          </w:p>
        </w:tc>
      </w:tr>
      <w:tr>
        <w:tc>
          <w:tcPr>
            <w:tcW w:type="dxa" w:w="1728"/>
          </w:tcPr>
          <w:p>
            <w:r>
              <w:rPr>
                <w:rFonts w:ascii="Calibri" w:hAnsi="Calibri"/>
                <w:sz w:val="18"/>
              </w:rPr>
              <w:t>8</w:t>
            </w:r>
          </w:p>
        </w:tc>
        <w:tc>
          <w:tcPr>
            <w:tcW w:type="dxa" w:w="1728"/>
          </w:tcPr>
          <w:p>
            <w:r>
              <w:rPr>
                <w:rFonts w:ascii="Calibri" w:hAnsi="Calibri"/>
                <w:sz w:val="18"/>
              </w:rPr>
              <w:t>sentiment_ma5</w:t>
            </w:r>
          </w:p>
        </w:tc>
        <w:tc>
          <w:tcPr>
            <w:tcW w:type="dxa" w:w="1728"/>
          </w:tcPr>
          <w:p>
            <w:r>
              <w:rPr>
                <w:rFonts w:ascii="Calibri" w:hAnsi="Calibri"/>
                <w:sz w:val="18"/>
              </w:rPr>
              <w:t>5-day EMA of sentiment_score</w:t>
            </w:r>
          </w:p>
        </w:tc>
        <w:tc>
          <w:tcPr>
            <w:tcW w:type="dxa" w:w="1728"/>
          </w:tcPr>
          <w:p>
            <w:r>
              <w:rPr>
                <w:rFonts w:ascii="Calibri" w:hAnsi="Calibri"/>
                <w:sz w:val="18"/>
              </w:rPr>
              <w:t>[-1, +1]</w:t>
            </w:r>
          </w:p>
        </w:tc>
        <w:tc>
          <w:tcPr>
            <w:tcW w:type="dxa" w:w="1728"/>
          </w:tcPr>
          <w:p>
            <w:r>
              <w:rPr>
                <w:rFonts w:ascii="Calibri" w:hAnsi="Calibri"/>
                <w:sz w:val="18"/>
              </w:rPr>
              <w:t>Smoothed sentiment trend</w:t>
            </w:r>
          </w:p>
        </w:tc>
      </w:tr>
      <w:tr>
        <w:tc>
          <w:tcPr>
            <w:tcW w:type="dxa" w:w="1728"/>
          </w:tcPr>
          <w:p>
            <w:r>
              <w:rPr>
                <w:rFonts w:ascii="Calibri" w:hAnsi="Calibri"/>
                <w:sz w:val="18"/>
              </w:rPr>
              <w:t>9</w:t>
            </w:r>
          </w:p>
        </w:tc>
        <w:tc>
          <w:tcPr>
            <w:tcW w:type="dxa" w:w="1728"/>
          </w:tcPr>
          <w:p>
            <w:r>
              <w:rPr>
                <w:rFonts w:ascii="Calibri" w:hAnsi="Calibri"/>
                <w:sz w:val="18"/>
              </w:rPr>
              <w:t>sentiment_trend</w:t>
            </w:r>
          </w:p>
        </w:tc>
        <w:tc>
          <w:tcPr>
            <w:tcW w:type="dxa" w:w="1728"/>
          </w:tcPr>
          <w:p>
            <w:r>
              <w:rPr>
                <w:rFonts w:ascii="Calibri" w:hAnsi="Calibri"/>
                <w:sz w:val="18"/>
              </w:rPr>
              <w:t>MA5 - MA20 of sentiment</w:t>
            </w:r>
          </w:p>
        </w:tc>
        <w:tc>
          <w:tcPr>
            <w:tcW w:type="dxa" w:w="1728"/>
          </w:tcPr>
          <w:p>
            <w:r>
              <w:rPr>
                <w:rFonts w:ascii="Calibri" w:hAnsi="Calibri"/>
                <w:sz w:val="18"/>
              </w:rPr>
              <w:t>[-1, +1]</w:t>
            </w:r>
          </w:p>
        </w:tc>
        <w:tc>
          <w:tcPr>
            <w:tcW w:type="dxa" w:w="1728"/>
          </w:tcPr>
          <w:p>
            <w:r>
              <w:rPr>
                <w:rFonts w:ascii="Calibri" w:hAnsi="Calibri"/>
                <w:sz w:val="18"/>
              </w:rPr>
              <w:t>Sentiment momentum/divergence</w:t>
            </w:r>
          </w:p>
        </w:tc>
      </w:tr>
      <w:tr>
        <w:tc>
          <w:tcPr>
            <w:tcW w:type="dxa" w:w="1728"/>
          </w:tcPr>
          <w:p>
            <w:r>
              <w:rPr>
                <w:rFonts w:ascii="Calibri" w:hAnsi="Calibri"/>
                <w:sz w:val="18"/>
              </w:rPr>
              <w:t>10</w:t>
            </w:r>
          </w:p>
        </w:tc>
        <w:tc>
          <w:tcPr>
            <w:tcW w:type="dxa" w:w="1728"/>
          </w:tcPr>
          <w:p>
            <w:r>
              <w:rPr>
                <w:rFonts w:ascii="Calibri" w:hAnsi="Calibri"/>
                <w:sz w:val="18"/>
              </w:rPr>
              <w:t>sentiment_vol</w:t>
            </w:r>
          </w:p>
        </w:tc>
        <w:tc>
          <w:tcPr>
            <w:tcW w:type="dxa" w:w="1728"/>
          </w:tcPr>
          <w:p>
            <w:r>
              <w:rPr>
                <w:rFonts w:ascii="Calibri" w:hAnsi="Calibri"/>
                <w:sz w:val="18"/>
              </w:rPr>
              <w:t>10-day rolling std</w:t>
            </w:r>
          </w:p>
        </w:tc>
        <w:tc>
          <w:tcPr>
            <w:tcW w:type="dxa" w:w="1728"/>
          </w:tcPr>
          <w:p>
            <w:r>
              <w:rPr>
                <w:rFonts w:ascii="Calibri" w:hAnsi="Calibri"/>
                <w:sz w:val="18"/>
              </w:rPr>
              <w:t>[0, ~0.5]</w:t>
            </w:r>
          </w:p>
        </w:tc>
        <w:tc>
          <w:tcPr>
            <w:tcW w:type="dxa" w:w="1728"/>
          </w:tcPr>
          <w:p>
            <w:r>
              <w:rPr>
                <w:rFonts w:ascii="Calibri" w:hAnsi="Calibri"/>
                <w:sz w:val="18"/>
              </w:rPr>
              <w:t>Sentiment signal uncertainty</w:t>
            </w:r>
          </w:p>
        </w:tc>
      </w:tr>
    </w:tbl>
    <w:p/>
    <w:p>
      <w:pPr>
        <w:spacing w:after="120" w:line="276" w:lineRule="auto"/>
      </w:pPr>
      <w:r>
        <w:rPr>
          <w:rFonts w:ascii="Calibri" w:hAnsi="Calibri"/>
          <w:b/>
          <w:sz w:val="22"/>
        </w:rPr>
        <w:t>3.4.2 Neural Network Architecture</w:t>
      </w:r>
    </w:p>
    <w:p>
      <w:pPr>
        <w:spacing w:after="120" w:line="276" w:lineRule="auto"/>
      </w:pPr>
      <w:r>
        <w:rPr>
          <w:rFonts w:ascii="Calibri" w:hAnsi="Calibri"/>
          <w:b w:val="0"/>
          <w:sz w:val="22"/>
        </w:rPr>
        <w:t>QNetwork: Input(11) -&gt; Linear(11, 256) -&gt; ReLU -&gt; Linear(256, 128) -&gt; ReLU -&gt; Linear(128, 64) -&gt; ReLU -&gt; Linear(64, 3). Three hidden layers with monotonically decreasing width (256-&gt;128-&gt;64 neurons) following the funnel architecture common in DQN implementations. Total trainable parameters: approximately 44,000. The output layer produces three Q-values corresponding to actions: Hold (0), Buy (1), and Sell (2).</w:t>
      </w:r>
    </w:p>
    <w:p>
      <w:pPr>
        <w:spacing w:after="120" w:line="276" w:lineRule="auto"/>
      </w:pPr>
      <w:r>
        <w:rPr>
          <w:rFonts w:ascii="Calibri" w:hAnsi="Calibri"/>
          <w:b w:val="0"/>
          <w:sz w:val="22"/>
        </w:rPr>
        <w:t>Double DQN (van Hasselt et al., 2016) decouples action selection (performed by the online Q-network) from action evaluation (performed by a separate target network), reducing the overestimation bias inherent in standard DQN. The target network is updated via hard parameter copy every 5 episodes (TARGET_UPDATE_FREQ=5).</w:t>
      </w:r>
    </w:p>
    <w:p>
      <w:pPr>
        <w:spacing w:after="120" w:line="276" w:lineRule="auto"/>
      </w:pPr>
      <w:r>
        <w:rPr>
          <w:rFonts w:ascii="Calibri" w:hAnsi="Calibri"/>
          <w:b/>
          <w:sz w:val="22"/>
        </w:rPr>
        <w:t>3.4.3 Training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Calibri" w:hAnsi="Calibri"/>
                <w:b/>
                <w:sz w:val="19"/>
              </w:rPr>
              <w:t>Hyperparameter</w:t>
            </w:r>
          </w:p>
        </w:tc>
        <w:tc>
          <w:tcPr>
            <w:tcW w:type="dxa" w:w="2880"/>
          </w:tcPr>
          <w:p>
            <w:pPr>
              <w:jc w:val="center"/>
            </w:pPr>
            <w:r>
              <w:rPr>
                <w:rFonts w:ascii="Calibri" w:hAnsi="Calibri"/>
                <w:b/>
                <w:sz w:val="19"/>
              </w:rPr>
              <w:t>Value</w:t>
            </w:r>
          </w:p>
        </w:tc>
        <w:tc>
          <w:tcPr>
            <w:tcW w:type="dxa" w:w="2880"/>
          </w:tcPr>
          <w:p>
            <w:pPr>
              <w:jc w:val="center"/>
            </w:pPr>
            <w:r>
              <w:rPr>
                <w:rFonts w:ascii="Calibri" w:hAnsi="Calibri"/>
                <w:b/>
                <w:sz w:val="19"/>
              </w:rPr>
              <w:t>Rationale</w:t>
            </w:r>
          </w:p>
        </w:tc>
      </w:tr>
      <w:tr>
        <w:tc>
          <w:tcPr>
            <w:tcW w:type="dxa" w:w="2880"/>
          </w:tcPr>
          <w:p>
            <w:r>
              <w:rPr>
                <w:rFonts w:ascii="Calibri" w:hAnsi="Calibri"/>
                <w:sz w:val="18"/>
              </w:rPr>
              <w:t>Training Episodes</w:t>
            </w:r>
          </w:p>
        </w:tc>
        <w:tc>
          <w:tcPr>
            <w:tcW w:type="dxa" w:w="2880"/>
          </w:tcPr>
          <w:p>
            <w:r>
              <w:rPr>
                <w:rFonts w:ascii="Calibri" w:hAnsi="Calibri"/>
                <w:sz w:val="18"/>
              </w:rPr>
              <w:t>200</w:t>
            </w:r>
          </w:p>
        </w:tc>
        <w:tc>
          <w:tcPr>
            <w:tcW w:type="dxa" w:w="2880"/>
          </w:tcPr>
          <w:p>
            <w:r>
              <w:rPr>
                <w:rFonts w:ascii="Calibri" w:hAnsi="Calibri"/>
                <w:sz w:val="18"/>
              </w:rPr>
              <w:t>Course minimum requirement</w:t>
            </w:r>
          </w:p>
        </w:tc>
      </w:tr>
      <w:tr>
        <w:tc>
          <w:tcPr>
            <w:tcW w:type="dxa" w:w="2880"/>
          </w:tcPr>
          <w:p>
            <w:r>
              <w:rPr>
                <w:rFonts w:ascii="Calibri" w:hAnsi="Calibri"/>
                <w:sz w:val="18"/>
              </w:rPr>
              <w:t>Discount Factor (gamma)</w:t>
            </w:r>
          </w:p>
        </w:tc>
        <w:tc>
          <w:tcPr>
            <w:tcW w:type="dxa" w:w="2880"/>
          </w:tcPr>
          <w:p>
            <w:r>
              <w:rPr>
                <w:rFonts w:ascii="Calibri" w:hAnsi="Calibri"/>
                <w:sz w:val="18"/>
              </w:rPr>
              <w:t>0.99</w:t>
            </w:r>
          </w:p>
        </w:tc>
        <w:tc>
          <w:tcPr>
            <w:tcW w:type="dxa" w:w="2880"/>
          </w:tcPr>
          <w:p>
            <w:r>
              <w:rPr>
                <w:rFonts w:ascii="Calibri" w:hAnsi="Calibri"/>
                <w:sz w:val="18"/>
              </w:rPr>
              <w:t>Standard for financial RL with long horizons</w:t>
            </w:r>
          </w:p>
        </w:tc>
      </w:tr>
      <w:tr>
        <w:tc>
          <w:tcPr>
            <w:tcW w:type="dxa" w:w="2880"/>
          </w:tcPr>
          <w:p>
            <w:r>
              <w:rPr>
                <w:rFonts w:ascii="Calibri" w:hAnsi="Calibri"/>
                <w:sz w:val="18"/>
              </w:rPr>
              <w:t>Learning Rate</w:t>
            </w:r>
          </w:p>
        </w:tc>
        <w:tc>
          <w:tcPr>
            <w:tcW w:type="dxa" w:w="2880"/>
          </w:tcPr>
          <w:p>
            <w:r>
              <w:rPr>
                <w:rFonts w:ascii="Calibri" w:hAnsi="Calibri"/>
                <w:sz w:val="18"/>
              </w:rPr>
              <w:t>1e-3</w:t>
            </w:r>
          </w:p>
        </w:tc>
        <w:tc>
          <w:tcPr>
            <w:tcW w:type="dxa" w:w="2880"/>
          </w:tcPr>
          <w:p>
            <w:r>
              <w:rPr>
                <w:rFonts w:ascii="Calibri" w:hAnsi="Calibri"/>
                <w:sz w:val="18"/>
              </w:rPr>
              <w:t>Adam default; decayed 0.5% per episode</w:t>
            </w:r>
          </w:p>
        </w:tc>
      </w:tr>
      <w:tr>
        <w:tc>
          <w:tcPr>
            <w:tcW w:type="dxa" w:w="2880"/>
          </w:tcPr>
          <w:p>
            <w:r>
              <w:rPr>
                <w:rFonts w:ascii="Calibri" w:hAnsi="Calibri"/>
                <w:sz w:val="18"/>
              </w:rPr>
              <w:t>Batch Size</w:t>
            </w:r>
          </w:p>
        </w:tc>
        <w:tc>
          <w:tcPr>
            <w:tcW w:type="dxa" w:w="2880"/>
          </w:tcPr>
          <w:p>
            <w:r>
              <w:rPr>
                <w:rFonts w:ascii="Calibri" w:hAnsi="Calibri"/>
                <w:sz w:val="18"/>
              </w:rPr>
              <w:t>64</w:t>
            </w:r>
          </w:p>
        </w:tc>
        <w:tc>
          <w:tcPr>
            <w:tcW w:type="dxa" w:w="2880"/>
          </w:tcPr>
          <w:p>
            <w:r>
              <w:rPr>
                <w:rFonts w:ascii="Calibri" w:hAnsi="Calibri"/>
                <w:sz w:val="18"/>
              </w:rPr>
              <w:t>Standard mini-batch size for stable gradients</w:t>
            </w:r>
          </w:p>
        </w:tc>
      </w:tr>
      <w:tr>
        <w:tc>
          <w:tcPr>
            <w:tcW w:type="dxa" w:w="2880"/>
          </w:tcPr>
          <w:p>
            <w:r>
              <w:rPr>
                <w:rFonts w:ascii="Calibri" w:hAnsi="Calibri"/>
                <w:sz w:val="18"/>
              </w:rPr>
              <w:t>Replay Buffer Capacity</w:t>
            </w:r>
          </w:p>
        </w:tc>
        <w:tc>
          <w:tcPr>
            <w:tcW w:type="dxa" w:w="2880"/>
          </w:tcPr>
          <w:p>
            <w:r>
              <w:rPr>
                <w:rFonts w:ascii="Calibri" w:hAnsi="Calibri"/>
                <w:sz w:val="18"/>
              </w:rPr>
              <w:t>20,000</w:t>
            </w:r>
          </w:p>
        </w:tc>
        <w:tc>
          <w:tcPr>
            <w:tcW w:type="dxa" w:w="2880"/>
          </w:tcPr>
          <w:p>
            <w:r>
              <w:rPr>
                <w:rFonts w:ascii="Calibri" w:hAnsi="Calibri"/>
                <w:sz w:val="18"/>
              </w:rPr>
              <w:t>~100 steps/ep x 200 episodes coverage</w:t>
            </w:r>
          </w:p>
        </w:tc>
      </w:tr>
      <w:tr>
        <w:tc>
          <w:tcPr>
            <w:tcW w:type="dxa" w:w="2880"/>
          </w:tcPr>
          <w:p>
            <w:r>
              <w:rPr>
                <w:rFonts w:ascii="Calibri" w:hAnsi="Calibri"/>
                <w:sz w:val="18"/>
              </w:rPr>
              <w:t>Target Network Update</w:t>
            </w:r>
          </w:p>
        </w:tc>
        <w:tc>
          <w:tcPr>
            <w:tcW w:type="dxa" w:w="2880"/>
          </w:tcPr>
          <w:p>
            <w:r>
              <w:rPr>
                <w:rFonts w:ascii="Calibri" w:hAnsi="Calibri"/>
                <w:sz w:val="18"/>
              </w:rPr>
              <w:t>Every 5 episodes</w:t>
            </w:r>
          </w:p>
        </w:tc>
        <w:tc>
          <w:tcPr>
            <w:tcW w:type="dxa" w:w="2880"/>
          </w:tcPr>
          <w:p>
            <w:r>
              <w:rPr>
                <w:rFonts w:ascii="Calibri" w:hAnsi="Calibri"/>
                <w:sz w:val="18"/>
              </w:rPr>
              <w:t>Balance stability vs. learning speed</w:t>
            </w:r>
          </w:p>
        </w:tc>
      </w:tr>
      <w:tr>
        <w:tc>
          <w:tcPr>
            <w:tcW w:type="dxa" w:w="2880"/>
          </w:tcPr>
          <w:p>
            <w:r>
              <w:rPr>
                <w:rFonts w:ascii="Calibri" w:hAnsi="Calibri"/>
                <w:sz w:val="18"/>
              </w:rPr>
              <w:t>Epsilon Start</w:t>
            </w:r>
          </w:p>
        </w:tc>
        <w:tc>
          <w:tcPr>
            <w:tcW w:type="dxa" w:w="2880"/>
          </w:tcPr>
          <w:p>
            <w:r>
              <w:rPr>
                <w:rFonts w:ascii="Calibri" w:hAnsi="Calibri"/>
                <w:sz w:val="18"/>
              </w:rPr>
              <w:t>1.0</w:t>
            </w:r>
          </w:p>
        </w:tc>
        <w:tc>
          <w:tcPr>
            <w:tcW w:type="dxa" w:w="2880"/>
          </w:tcPr>
          <w:p>
            <w:r>
              <w:rPr>
                <w:rFonts w:ascii="Calibri" w:hAnsi="Calibri"/>
                <w:sz w:val="18"/>
              </w:rPr>
              <w:t>Full exploration at initialization</w:t>
            </w:r>
          </w:p>
        </w:tc>
      </w:tr>
      <w:tr>
        <w:tc>
          <w:tcPr>
            <w:tcW w:type="dxa" w:w="2880"/>
          </w:tcPr>
          <w:p>
            <w:r>
              <w:rPr>
                <w:rFonts w:ascii="Calibri" w:hAnsi="Calibri"/>
                <w:sz w:val="18"/>
              </w:rPr>
              <w:t>Epsilon Min</w:t>
            </w:r>
          </w:p>
        </w:tc>
        <w:tc>
          <w:tcPr>
            <w:tcW w:type="dxa" w:w="2880"/>
          </w:tcPr>
          <w:p>
            <w:r>
              <w:rPr>
                <w:rFonts w:ascii="Calibri" w:hAnsi="Calibri"/>
                <w:sz w:val="18"/>
              </w:rPr>
              <w:t>0.05</w:t>
            </w:r>
          </w:p>
        </w:tc>
        <w:tc>
          <w:tcPr>
            <w:tcW w:type="dxa" w:w="2880"/>
          </w:tcPr>
          <w:p>
            <w:r>
              <w:rPr>
                <w:rFonts w:ascii="Calibri" w:hAnsi="Calibri"/>
                <w:sz w:val="18"/>
              </w:rPr>
              <w:t>Minimum exploration rate; prevents policy collapse</w:t>
            </w:r>
          </w:p>
        </w:tc>
      </w:tr>
      <w:tr>
        <w:tc>
          <w:tcPr>
            <w:tcW w:type="dxa" w:w="2880"/>
          </w:tcPr>
          <w:p>
            <w:r>
              <w:rPr>
                <w:rFonts w:ascii="Calibri" w:hAnsi="Calibri"/>
                <w:sz w:val="18"/>
              </w:rPr>
              <w:t>Epsilon Decay Rate</w:t>
            </w:r>
          </w:p>
        </w:tc>
        <w:tc>
          <w:tcPr>
            <w:tcW w:type="dxa" w:w="2880"/>
          </w:tcPr>
          <w:p>
            <w:r>
              <w:rPr>
                <w:rFonts w:ascii="Calibri" w:hAnsi="Calibri"/>
                <w:sz w:val="18"/>
              </w:rPr>
              <w:t>0.97 per episode</w:t>
            </w:r>
          </w:p>
        </w:tc>
        <w:tc>
          <w:tcPr>
            <w:tcW w:type="dxa" w:w="2880"/>
          </w:tcPr>
          <w:p>
            <w:r>
              <w:rPr>
                <w:rFonts w:ascii="Calibri" w:hAnsi="Calibri"/>
                <w:sz w:val="18"/>
              </w:rPr>
              <w:t>Reaches min at ~episode 80</w:t>
            </w:r>
          </w:p>
        </w:tc>
      </w:tr>
      <w:tr>
        <w:tc>
          <w:tcPr>
            <w:tcW w:type="dxa" w:w="2880"/>
          </w:tcPr>
          <w:p>
            <w:r>
              <w:rPr>
                <w:rFonts w:ascii="Calibri" w:hAnsi="Calibri"/>
                <w:sz w:val="18"/>
              </w:rPr>
              <w:t>Gradient Clipping</w:t>
            </w:r>
          </w:p>
        </w:tc>
        <w:tc>
          <w:tcPr>
            <w:tcW w:type="dxa" w:w="2880"/>
          </w:tcPr>
          <w:p>
            <w:r>
              <w:rPr>
                <w:rFonts w:ascii="Calibri" w:hAnsi="Calibri"/>
                <w:sz w:val="18"/>
              </w:rPr>
              <w:t>max_norm = 1.0</w:t>
            </w:r>
          </w:p>
        </w:tc>
        <w:tc>
          <w:tcPr>
            <w:tcW w:type="dxa" w:w="2880"/>
          </w:tcPr>
          <w:p>
            <w:r>
              <w:rPr>
                <w:rFonts w:ascii="Calibri" w:hAnsi="Calibri"/>
                <w:sz w:val="18"/>
              </w:rPr>
              <w:t>Prevents exploding gradients in deep layers</w:t>
            </w:r>
          </w:p>
        </w:tc>
      </w:tr>
      <w:tr>
        <w:tc>
          <w:tcPr>
            <w:tcW w:type="dxa" w:w="2880"/>
          </w:tcPr>
          <w:p>
            <w:r>
              <w:rPr>
                <w:rFonts w:ascii="Calibri" w:hAnsi="Calibri"/>
                <w:sz w:val="18"/>
              </w:rPr>
              <w:t>Optimizer</w:t>
            </w:r>
          </w:p>
        </w:tc>
        <w:tc>
          <w:tcPr>
            <w:tcW w:type="dxa" w:w="2880"/>
          </w:tcPr>
          <w:p>
            <w:r>
              <w:rPr>
                <w:rFonts w:ascii="Calibri" w:hAnsi="Calibri"/>
                <w:sz w:val="18"/>
              </w:rPr>
              <w:t>Adam (lr=1e-3)</w:t>
            </w:r>
          </w:p>
        </w:tc>
        <w:tc>
          <w:tcPr>
            <w:tcW w:type="dxa" w:w="2880"/>
          </w:tcPr>
          <w:p>
            <w:r>
              <w:rPr>
                <w:rFonts w:ascii="Calibri" w:hAnsi="Calibri"/>
                <w:sz w:val="18"/>
              </w:rPr>
              <w:t>Standard choice for DQN training</w:t>
            </w:r>
          </w:p>
        </w:tc>
      </w:tr>
      <w:tr>
        <w:tc>
          <w:tcPr>
            <w:tcW w:type="dxa" w:w="2880"/>
          </w:tcPr>
          <w:p>
            <w:r>
              <w:rPr>
                <w:rFonts w:ascii="Calibri" w:hAnsi="Calibri"/>
                <w:sz w:val="18"/>
              </w:rPr>
              <w:t>LR Scheduler</w:t>
            </w:r>
          </w:p>
        </w:tc>
        <w:tc>
          <w:tcPr>
            <w:tcW w:type="dxa" w:w="2880"/>
          </w:tcPr>
          <w:p>
            <w:r>
              <w:rPr>
                <w:rFonts w:ascii="Calibri" w:hAnsi="Calibri"/>
                <w:sz w:val="18"/>
              </w:rPr>
              <w:t>ExponentialLR(gamma=0.995)</w:t>
            </w:r>
          </w:p>
        </w:tc>
        <w:tc>
          <w:tcPr>
            <w:tcW w:type="dxa" w:w="2880"/>
          </w:tcPr>
          <w:p>
            <w:r>
              <w:rPr>
                <w:rFonts w:ascii="Calibri" w:hAnsi="Calibri"/>
                <w:sz w:val="18"/>
              </w:rPr>
              <w:t>Gentle per-episode learning rate decay</w:t>
            </w:r>
          </w:p>
        </w:tc>
      </w:tr>
      <w:tr>
        <w:tc>
          <w:tcPr>
            <w:tcW w:type="dxa" w:w="2880"/>
          </w:tcPr>
          <w:p>
            <w:r>
              <w:rPr>
                <w:rFonts w:ascii="Calibri" w:hAnsi="Calibri"/>
                <w:sz w:val="18"/>
              </w:rPr>
              <w:t>Initial Capital</w:t>
            </w:r>
          </w:p>
        </w:tc>
        <w:tc>
          <w:tcPr>
            <w:tcW w:type="dxa" w:w="2880"/>
          </w:tcPr>
          <w:p>
            <w:r>
              <w:rPr>
                <w:rFonts w:ascii="Calibri" w:hAnsi="Calibri"/>
                <w:sz w:val="18"/>
              </w:rPr>
              <w:t>$100,000.00</w:t>
            </w:r>
          </w:p>
        </w:tc>
        <w:tc>
          <w:tcPr>
            <w:tcW w:type="dxa" w:w="2880"/>
          </w:tcPr>
          <w:p>
            <w:r>
              <w:rPr>
                <w:rFonts w:ascii="Calibri" w:hAnsi="Calibri"/>
                <w:sz w:val="18"/>
              </w:rPr>
              <w:t>Realistic retail portfolio size</w:t>
            </w:r>
          </w:p>
        </w:tc>
      </w:tr>
      <w:tr>
        <w:tc>
          <w:tcPr>
            <w:tcW w:type="dxa" w:w="2880"/>
          </w:tcPr>
          <w:p>
            <w:r>
              <w:rPr>
                <w:rFonts w:ascii="Calibri" w:hAnsi="Calibri"/>
                <w:sz w:val="18"/>
              </w:rPr>
              <w:t>Transaction Cost</w:t>
            </w:r>
          </w:p>
        </w:tc>
        <w:tc>
          <w:tcPr>
            <w:tcW w:type="dxa" w:w="2880"/>
          </w:tcPr>
          <w:p>
            <w:r>
              <w:rPr>
                <w:rFonts w:ascii="Calibri" w:hAnsi="Calibri"/>
                <w:sz w:val="18"/>
              </w:rPr>
              <w:t>0.1% (10 bps)</w:t>
            </w:r>
          </w:p>
        </w:tc>
        <w:tc>
          <w:tcPr>
            <w:tcW w:type="dxa" w:w="2880"/>
          </w:tcPr>
          <w:p>
            <w:r>
              <w:rPr>
                <w:rFonts w:ascii="Calibri" w:hAnsi="Calibri"/>
                <w:sz w:val="18"/>
              </w:rPr>
              <w:t>Conservative retail commission estimate</w:t>
            </w:r>
          </w:p>
        </w:tc>
      </w:tr>
    </w:tbl>
    <w:p/>
    <w:p>
      <w:pPr>
        <w:spacing w:after="120" w:line="276" w:lineRule="auto"/>
      </w:pPr>
      <w:r>
        <w:rPr>
          <w:rFonts w:ascii="Calibri" w:hAnsi="Calibri"/>
          <w:b/>
          <w:sz w:val="22"/>
        </w:rPr>
        <w:t>3.4.4 Reward Function Design</w:t>
      </w:r>
    </w:p>
    <w:p>
      <w:pPr>
        <w:spacing w:after="120" w:line="276" w:lineRule="auto"/>
      </w:pPr>
      <w:r>
        <w:rPr>
          <w:rFonts w:ascii="Calibri" w:hAnsi="Calibri"/>
          <w:b w:val="0"/>
          <w:sz w:val="22"/>
        </w:rPr>
        <w:t>The reward function combines five components into a scalar signal at each time step:</w:t>
      </w:r>
    </w:p>
    <w:p>
      <w:pPr>
        <w:spacing w:after="120" w:line="276" w:lineRule="auto"/>
      </w:pPr>
      <w:r>
        <w:rPr>
          <w:rFonts w:ascii="Calibri" w:hAnsi="Calibri"/>
          <w:b w:val="0"/>
          <w:sz w:val="18"/>
        </w:rPr>
        <w:t xml:space="preserve">  R_t = portfolio_return_t - 0.0001 * cash_idle_ratio</w:t>
        <w:br/>
        <w:t xml:space="preserve">        - 0.0005 * max(0, position_pct - 0.25)</w:t>
        <w:br/>
        <w:t xml:space="preserve">        - 0.0001 * I[trade_made]</w:t>
        <w:br/>
        <w:t xml:space="preserve">        +/- 0.0002 * I[position_aligned_with_sentiment]</w:t>
      </w:r>
    </w:p>
    <w:p>
      <w:pPr>
        <w:spacing w:after="120" w:line="276" w:lineRule="auto"/>
      </w:pPr>
      <w:r>
        <w:rPr>
          <w:rFonts w:ascii="Calibri" w:hAnsi="Calibri"/>
          <w:b w:val="0"/>
          <w:sz w:val="22"/>
        </w:rPr>
        <w:t>Component 1 (Portfolio Return): The primary reward driver - percentage change in total portfolio equity from step t-1 to t. Component 2 (Cash Penalty): A small penalty proportional to idle cash, discouraging the agent from sitting entirely in cash. Component 3 (Concentration Penalty): Activated when any single position exceeds 25% of portfolio value, promoting diversification. Component 4 (Trade Frequency Penalty): A fixed cost per trade to discourage excessive turnover and overtrading. Component 5 (Sentiment Alignment Bonus): A small shaping reward when the agent's position direction matches the NLP sentiment signal - positive reward for holding a stock with positive sentiment, negative reward for holding a stock with negative sentiment.</w:t>
      </w:r>
    </w:p>
    <w:p>
      <w:pPr>
        <w:spacing w:after="120" w:line="276" w:lineRule="auto"/>
      </w:pPr>
      <w:r>
        <w:rPr>
          <w:rFonts w:ascii="Calibri" w:hAnsi="Calibri"/>
          <w:b w:val="0"/>
          <w:sz w:val="22"/>
        </w:rPr>
        <w:t>Episode termination conditions: (1) exhausting the time series data (natural termination), or (2) drawdown exceeding 20% of peak portfolio equity (risk-control early termination, MAX_DRAWDOWN_LIMIT = 0.20). This hard stop prevents the agent from learning strategies with catastrophic tail risk.</w:t>
      </w:r>
    </w:p>
    <w:p>
      <w:pPr>
        <w:spacing w:after="120" w:line="276" w:lineRule="auto"/>
      </w:pPr>
      <w:r>
        <w:rPr>
          <w:rFonts w:ascii="Calibri" w:hAnsi="Calibri"/>
          <w:b/>
          <w:sz w:val="22"/>
        </w:rPr>
        <w:t>3.4.5 Walk-Forward Validation Protocol</w:t>
      </w:r>
    </w:p>
    <w:p>
      <w:pPr>
        <w:spacing w:after="120" w:line="276" w:lineRule="auto"/>
      </w:pPr>
      <w:r>
        <w:rPr>
          <w:rFonts w:ascii="Calibri" w:hAnsi="Calibri"/>
          <w:b w:val="0"/>
          <w:sz w:val="22"/>
        </w:rPr>
        <w:t>To eliminate look-ahead bias - a pervasive issue in financial ML where models inadvertently train on future information - we implement strict chronological walk-forward validation. The data is split temporally: 60% training (earliest period), 20% validation (middle period), and 20% test (most recent period, held out until final evaluation). The split boundaries are computed per-ticker based on available date ranges, ensuring no future information contaminates training or hyperparameter selection. The best model checkpoint is selected based on validation Sharpe Ratio (not terminal training performance), providing an unbiased estimate of generalization performance on the held-out test set.</w:t>
      </w:r>
    </w:p>
    <w:p>
      <w:pPr>
        <w:pStyle w:val="Heading2"/>
      </w:pPr>
      <w:r>
        <w:rPr>
          <w:rFonts w:ascii="Calibri" w:hAnsi="Calibri"/>
        </w:rPr>
        <w:t>3.5 Module 5 - Front-End Dashboard</w:t>
      </w:r>
    </w:p>
    <w:p>
      <w:pPr>
        <w:spacing w:after="120" w:line="276" w:lineRule="auto"/>
      </w:pPr>
      <w:r>
        <w:rPr>
          <w:rFonts w:ascii="Calibri" w:hAnsi="Calibri"/>
          <w:b w:val="0"/>
          <w:sz w:val="22"/>
        </w:rPr>
        <w:t>The dashboard is built with Streamlit (app.py) and provides real-time visualization of the entire trading pipeline through an interactive web interface. It is organized into eight functional panels accessible from a single page:</w:t>
      </w:r>
    </w:p>
    <w:p>
      <w:pPr>
        <w:pStyle w:val="ListBullet"/>
        <w:spacing w:after="60"/>
      </w:pPr>
      <w:r>
        <w:rPr>
          <w:rFonts w:ascii="Calibri" w:hAnsi="Calibri"/>
          <w:sz w:val="21"/>
        </w:rPr>
        <w:t>Ticker Tape: Animated horizontally-scrolling price display for watchlist stocks with real-time red/green color coding (Chinese market convention: red = price increase, green = price decrease).</w:t>
      </w:r>
    </w:p>
    <w:p>
      <w:pPr>
        <w:pStyle w:val="ListBullet"/>
        <w:spacing w:after="60"/>
      </w:pPr>
      <w:r>
        <w:rPr>
          <w:rFonts w:ascii="Calibri" w:hAnsi="Calibri"/>
          <w:sz w:val="21"/>
        </w:rPr>
        <w:t>KPI Cards: Five key metric cards displaying current price, data row count, sentiment coverage days, training log volume, and best episode Sharpe Ratio for the selected ticker.</w:t>
      </w:r>
    </w:p>
    <w:p>
      <w:pPr>
        <w:pStyle w:val="ListBullet"/>
        <w:spacing w:after="60"/>
      </w:pPr>
      <w:r>
        <w:rPr>
          <w:rFonts w:ascii="Calibri" w:hAnsi="Calibri"/>
          <w:sz w:val="21"/>
        </w:rPr>
        <w:t>Candlestick Chart: Interactive Plotly OHLCV chart with MA50 and MA200 moving average overlays, volume subplot, and triangular markers indicating DQN Buy/Sell trade execution points.</w:t>
      </w:r>
    </w:p>
    <w:p>
      <w:pPr>
        <w:pStyle w:val="ListBullet"/>
        <w:spacing w:after="60"/>
      </w:pPr>
      <w:r>
        <w:rPr>
          <w:rFonts w:ascii="Calibri" w:hAnsi="Calibri"/>
          <w:sz w:val="21"/>
        </w:rPr>
        <w:t>Technical Indicators: Dual-panel display with RSI(14) showing overbought (&gt;70) and oversold (&lt;30) threshold zones, and MACD(12,26,9) showing the MACD line, signal line, and divergence histogram.</w:t>
      </w:r>
    </w:p>
    <w:p>
      <w:pPr>
        <w:pStyle w:val="ListBullet"/>
        <w:spacing w:after="60"/>
      </w:pPr>
      <w:r>
        <w:rPr>
          <w:rFonts w:ascii="Calibri" w:hAnsi="Calibri"/>
          <w:sz w:val="21"/>
        </w:rPr>
        <w:t>Sentiment Quad Chart: Overlay of four sentiment time series (VADER=green, LR=yellow, FinBERT=blue, LLM=pink) enabling visual comparison of method agreement and divergence patterns over time.</w:t>
      </w:r>
    </w:p>
    <w:p>
      <w:pPr>
        <w:pStyle w:val="ListBullet"/>
        <w:spacing w:after="60"/>
      </w:pPr>
      <w:r>
        <w:rPr>
          <w:rFonts w:ascii="Calibri" w:hAnsi="Calibri"/>
          <w:sz w:val="21"/>
        </w:rPr>
        <w:t>Portfolio Performance: Equity curve time series with semi-transparent drawdown overlay, plus a market heatmap showing daily percentage changes across all watchlist tickers as colored bars.</w:t>
      </w:r>
    </w:p>
    <w:p>
      <w:pPr>
        <w:pStyle w:val="ListBullet"/>
        <w:spacing w:after="60"/>
      </w:pPr>
      <w:r>
        <w:rPr>
          <w:rFonts w:ascii="Calibri" w:hAnsi="Calibri"/>
          <w:sz w:val="21"/>
        </w:rPr>
        <w:t>Paper Trading Panel: Real-time portfolio summary (total equity, P&amp;L, cash balance), individual position breakdown (shares, cost basis, unrealized P&amp;L), and recent trade history table.</w:t>
      </w:r>
    </w:p>
    <w:p>
      <w:pPr>
        <w:pStyle w:val="ListBullet"/>
        <w:spacing w:after="60"/>
      </w:pPr>
      <w:r>
        <w:rPr>
          <w:rFonts w:ascii="Calibri" w:hAnsi="Calibri"/>
          <w:sz w:val="21"/>
        </w:rPr>
        <w:t>AI Chat Assistant: RAG-powered natural language interface where users can ask questions about portfolio performance, stock sentiment, or market conditions. Queries are embedded via SentenceTransformers (all-MiniLM-L6-v2), semantically matched against the ChromaDB news vector store, and answered by the Volcano Engine LLM with inline source citations.</w:t>
      </w:r>
    </w:p>
    <w:p>
      <w:r>
        <w:br w:type="page"/>
      </w:r>
    </w:p>
    <w:p>
      <w:pPr>
        <w:pStyle w:val="Heading1"/>
      </w:pPr>
      <w:r>
        <w:rPr>
          <w:rFonts w:ascii="Calibri" w:hAnsi="Calibri"/>
        </w:rPr>
        <w:t>4. Methodology</w:t>
      </w:r>
    </w:p>
    <w:p>
      <w:pPr>
        <w:pStyle w:val="Heading2"/>
      </w:pPr>
      <w:r>
        <w:rPr>
          <w:rFonts w:ascii="Calibri" w:hAnsi="Calibri"/>
        </w:rPr>
        <w:t>4.1 DQN from Scratch: Algorithmic Details</w:t>
      </w:r>
    </w:p>
    <w:p>
      <w:pPr>
        <w:spacing w:after="120" w:line="276" w:lineRule="auto"/>
      </w:pPr>
      <w:r>
        <w:rPr>
          <w:rFonts w:ascii="Calibri" w:hAnsi="Calibri"/>
          <w:b w:val="0"/>
          <w:sz w:val="22"/>
        </w:rPr>
        <w:t>The DQN implementation follows the Double DQN algorithm as formalized by van Hasselt et al. (2016). At each training step, a mini-batch of 64 transitions (s_t, a_t, r_t, s_{t+1}, done) is sampled uniformly from the experience replay buffer. For each transition, the TD target is computed as:</w:t>
      </w:r>
    </w:p>
    <w:p>
      <w:pPr>
        <w:spacing w:after="120" w:line="276" w:lineRule="auto"/>
      </w:pPr>
      <w:r>
        <w:rPr>
          <w:rFonts w:ascii="Calibri" w:hAnsi="Calibri"/>
          <w:b/>
          <w:sz w:val="20"/>
        </w:rPr>
        <w:t xml:space="preserve">  y_t = r_t + gamma * Q_target(s_{t+1}, argmax_a Q_online(s_{t+1}, a)) * (1 - done)</w:t>
      </w:r>
    </w:p>
    <w:p>
      <w:pPr>
        <w:spacing w:after="120" w:line="276" w:lineRule="auto"/>
      </w:pPr>
      <w:r>
        <w:rPr>
          <w:rFonts w:ascii="Calibri" w:hAnsi="Calibri"/>
          <w:b w:val="0"/>
          <w:sz w:val="22"/>
        </w:rPr>
        <w:t>The loss function is Mean Squared Error (MSE) between the predicted Q-values and the TD targets. Gradients are clipped to a maximum L2 norm of 1.0 before the Adam optimizer step. Five key architectural decisions distinguish this implementation:</w:t>
      </w:r>
    </w:p>
    <w:p>
      <w:pPr>
        <w:pStyle w:val="ListBullet"/>
        <w:spacing w:after="60"/>
      </w:pPr>
      <w:r>
        <w:rPr>
          <w:rFonts w:ascii="Calibri" w:hAnsi="Calibri"/>
          <w:sz w:val="21"/>
        </w:rPr>
        <w:t>Experience Replay (capacity 20,000): Breaks the temporal correlation between consecutive samples that would otherwise violate the i.i.d. assumption of stochastic gradient descent.</w:t>
      </w:r>
    </w:p>
    <w:p>
      <w:pPr>
        <w:pStyle w:val="ListBullet"/>
        <w:spacing w:after="60"/>
      </w:pPr>
      <w:r>
        <w:rPr>
          <w:rFonts w:ascii="Calibri" w:hAnsi="Calibri"/>
          <w:sz w:val="21"/>
        </w:rPr>
        <w:t>Double Q-Learning: The online network selects the best action, but the target network evaluates its value - decoupling selection from evaluation reduces the maximization bias that causes DQN to systematically overestimate Q-values.</w:t>
      </w:r>
    </w:p>
    <w:p>
      <w:pPr>
        <w:pStyle w:val="ListBullet"/>
        <w:spacing w:after="60"/>
      </w:pPr>
      <w:r>
        <w:rPr>
          <w:rFonts w:ascii="Calibri" w:hAnsi="Calibri"/>
          <w:sz w:val="21"/>
        </w:rPr>
        <w:t>Hard Target Updates (every 5 episodes): The target network parameters are replaced wholesale by the online network parameters, providing a stable regression target for the TD loss. More frequent updates (1 episode) caused training instability; less frequent (10+) slowed convergence.</w:t>
      </w:r>
    </w:p>
    <w:p>
      <w:pPr>
        <w:pStyle w:val="ListBullet"/>
        <w:spacing w:after="60"/>
      </w:pPr>
      <w:r>
        <w:rPr>
          <w:rFonts w:ascii="Calibri" w:hAnsi="Calibri"/>
          <w:sz w:val="21"/>
        </w:rPr>
        <w:t>Epsilon-Greedy Exploration with Exponential Decay: epsilon_t = max(0.05, 1.0 * 0.97^t). Exploration is high initially (100% random actions) and decays to 5% by approximately episode 80, after which the agent exploits learned knowledge with occasional exploration.</w:t>
      </w:r>
    </w:p>
    <w:p>
      <w:pPr>
        <w:pStyle w:val="ListBullet"/>
        <w:spacing w:after="60"/>
      </w:pPr>
      <w:r>
        <w:rPr>
          <w:rFonts w:ascii="Calibri" w:hAnsi="Calibri"/>
          <w:sz w:val="21"/>
        </w:rPr>
        <w:t>Learning Rate Scheduling: The Adam optimizer's learning rate is decayed by a factor of 0.995 per episode via ExponentialLR, providing coarse-to-fine optimization as training progresses.</w:t>
      </w:r>
    </w:p>
    <w:p>
      <w:pPr>
        <w:pStyle w:val="Heading2"/>
      </w:pPr>
      <w:r>
        <w:rPr>
          <w:rFonts w:ascii="Calibri" w:hAnsi="Calibri"/>
        </w:rPr>
        <w:t>4.2 Multi-Method Sentiment Analysis</w:t>
      </w:r>
    </w:p>
    <w:p>
      <w:pPr>
        <w:spacing w:after="120" w:line="276" w:lineRule="auto"/>
      </w:pPr>
      <w:r>
        <w:rPr>
          <w:rFonts w:ascii="Calibri" w:hAnsi="Calibri"/>
          <w:b w:val="0"/>
          <w:sz w:val="22"/>
        </w:rPr>
        <w:t>The three sentiment methods (VADER, Logistic Regression, FinBERT) represent three points on the complexity-performance spectrum: lexicon-based (fast, interpretable, limited domain adaptation), traditional ML (moderate speed, requires training data), and deep learning (slowest, state-of-the-art domain performance). The ensemble approach mitigates individual method weaknesses: VADER's limited financial vocabulary is supplemented by the custom lexicon; LR's dependence on synthetic training labels is validated against FinBERT's pre-trained knowledge; FinBERT's computational cost is offset by only running inference (not training) with efficient batching.</w:t>
      </w:r>
    </w:p>
    <w:p>
      <w:pPr>
        <w:pStyle w:val="Heading2"/>
      </w:pPr>
      <w:r>
        <w:rPr>
          <w:rFonts w:ascii="Calibri" w:hAnsi="Calibri"/>
        </w:rPr>
        <w:t>4.3 Walk-Forward Validation</w:t>
      </w:r>
    </w:p>
    <w:p>
      <w:pPr>
        <w:spacing w:after="120" w:line="276" w:lineRule="auto"/>
      </w:pPr>
      <w:r>
        <w:rPr>
          <w:rFonts w:ascii="Calibri" w:hAnsi="Calibri"/>
          <w:b w:val="0"/>
          <w:sz w:val="22"/>
        </w:rPr>
        <w:t>Walk-forward validation is the gold standard in quantitative finance for estimating out-of-sample strategy performance. Unlike k-fold cross-validation (which randomly shuffles data and would leak future information into training), walk-forward preserves the temporal ordering of financial data. The 60/20/20 split provides sufficient training data (approximately 2.5 years for the 2020-2024 range), a meaningful validation period (approximately 1 year) for hyperparameter tuning, and a held-out test period (approximately 1 year) for unbiased final evaluation.</w:t>
      </w:r>
    </w:p>
    <w:p>
      <w:pPr>
        <w:pStyle w:val="Heading2"/>
      </w:pPr>
      <w:r>
        <w:rPr>
          <w:rFonts w:ascii="Calibri" w:hAnsi="Calibri"/>
        </w:rPr>
        <w:t>4.4 Ablation Study Design</w:t>
      </w:r>
    </w:p>
    <w:p>
      <w:pPr>
        <w:spacing w:after="120" w:line="276" w:lineRule="auto"/>
      </w:pPr>
      <w:r>
        <w:rPr>
          <w:rFonts w:ascii="Calibri" w:hAnsi="Calibri"/>
          <w:b w:val="0"/>
          <w:sz w:val="22"/>
        </w:rPr>
        <w:t>The ablation study is a controlled experiment designed to isolate and quantify the marginal contribution of NLP-derived sentiment signals to DQN trading performance. The experimental protocol for each of the 28 tickers proceeds as follows:</w:t>
      </w:r>
    </w:p>
    <w:p>
      <w:pPr>
        <w:pStyle w:val="ListBullet"/>
        <w:spacing w:after="60"/>
      </w:pPr>
      <w:r>
        <w:rPr>
          <w:rFonts w:ascii="Calibri" w:hAnsi="Calibri"/>
          <w:sz w:val="21"/>
        </w:rPr>
        <w:t>Step 1: Construct two feature DataFrames from the same underlying market and news data:</w:t>
      </w:r>
    </w:p>
    <w:p>
      <w:pPr>
        <w:pStyle w:val="ListBullet"/>
        <w:spacing w:after="60"/>
      </w:pPr>
      <w:r>
        <w:rPr>
          <w:rFonts w:ascii="Calibri" w:hAnsi="Calibri"/>
          <w:sz w:val="21"/>
        </w:rPr>
        <w:t xml:space="preserve">  - With-NLP: Full 11-dimensional state vector including sentiment_score, sentiment_ma5, sentiment_trend, and sentiment_vol (dimensions 7-10).</w:t>
      </w:r>
    </w:p>
    <w:p>
      <w:pPr>
        <w:pStyle w:val="ListBullet"/>
        <w:spacing w:after="60"/>
      </w:pPr>
      <w:r>
        <w:rPr>
          <w:rFonts w:ascii="Calibri" w:hAnsi="Calibri"/>
          <w:sz w:val="21"/>
        </w:rPr>
        <w:t xml:space="preserve">  - Without-NLP: Reduced 8-dimensional state vector with the four sentiment dimensions removed, retaining only price-based technical indicators (dimensions 0-6).</w:t>
      </w:r>
    </w:p>
    <w:p>
      <w:pPr>
        <w:pStyle w:val="ListBullet"/>
        <w:spacing w:after="60"/>
      </w:pPr>
      <w:r>
        <w:rPr>
          <w:rFonts w:ascii="Calibri" w:hAnsi="Calibri"/>
          <w:sz w:val="21"/>
        </w:rPr>
        <w:t>Step 2: Train separate Double DQN agents on each feature set using identical hyperparameters (network architecture, learning rate, epsilon schedule, replay buffer size, etc.).</w:t>
      </w:r>
    </w:p>
    <w:p>
      <w:pPr>
        <w:pStyle w:val="ListBullet"/>
        <w:spacing w:after="60"/>
      </w:pPr>
      <w:r>
        <w:rPr>
          <w:rFonts w:ascii="Calibri" w:hAnsi="Calibri"/>
          <w:sz w:val="21"/>
        </w:rPr>
        <w:t>Step 3: Repeat training with 3 different random seeds [42, 123, 456] per condition, producing 6 trained agents per ticker (3 seeds x 2 conditions). This quantifies DQN training variance due to random weight initialization and experience replay sampling.</w:t>
      </w:r>
    </w:p>
    <w:p>
      <w:pPr>
        <w:pStyle w:val="ListBullet"/>
        <w:spacing w:after="60"/>
      </w:pPr>
      <w:r>
        <w:rPr>
          <w:rFonts w:ascii="Calibri" w:hAnsi="Calibri"/>
          <w:sz w:val="21"/>
        </w:rPr>
        <w:t>Step 4: Backtest all 6 agents on the same held-out test split. Compute mean and standard deviation of performance metrics across seeds.</w:t>
      </w:r>
    </w:p>
    <w:p>
      <w:pPr>
        <w:pStyle w:val="ListBullet"/>
        <w:spacing w:after="60"/>
      </w:pPr>
      <w:r>
        <w:rPr>
          <w:rFonts w:ascii="Calibri" w:hAnsi="Calibri"/>
          <w:sz w:val="21"/>
        </w:rPr>
        <w:t>Step 5: Calculate ablation deltas: Delta-Sharpe = mean(Sharpe_with_NLP) - mean(Sharpe_without_NLP) and Delta-Return = mean(Return_with_NLP) - mean(Return_without_NLP).</w:t>
      </w:r>
    </w:p>
    <w:p>
      <w:pPr>
        <w:pStyle w:val="ListBullet"/>
        <w:spacing w:after="60"/>
      </w:pPr>
      <w:r>
        <w:rPr>
          <w:rFonts w:ascii="Calibri" w:hAnsi="Calibri"/>
          <w:sz w:val="21"/>
        </w:rPr>
        <w:t>Step 6: Classify each ticker as NLP-positive (Delta-Sharpe &gt; 0), NLP-neutral (Delta-Sharpe approximately 0), or NLP-negative (Delta-Sharpe &lt; 0).</w:t>
      </w:r>
    </w:p>
    <w:p>
      <w:pPr>
        <w:spacing w:after="120" w:line="276" w:lineRule="auto"/>
      </w:pPr>
      <w:r>
        <w:rPr>
          <w:rFonts w:ascii="Calibri" w:hAnsi="Calibri"/>
          <w:b w:val="0"/>
          <w:sz w:val="22"/>
        </w:rPr>
        <w:t>The study operates at three validation layers of increasing realism: Layer 1 (Ablation Delta) answers the primary research question with statistical rigor. Layer 2 (DQN vs. Buy-and-Hold) contextualizes the absolute performance of the NLP-enhanced agent against a passive benchmark. Layer 3 (Paper Trading) deploys trained agents on the most recent unseen data in a simulated live environment, testing whether the ablation findings generalize to true out-of-sample conditions with realistic execution constraints.</w:t>
      </w:r>
    </w:p>
    <w:p>
      <w:r>
        <w:br w:type="page"/>
      </w:r>
    </w:p>
    <w:p>
      <w:pPr>
        <w:pStyle w:val="Heading1"/>
      </w:pPr>
      <w:r>
        <w:rPr>
          <w:rFonts w:ascii="Calibri" w:hAnsi="Calibri"/>
        </w:rPr>
        <w:t>5. Experiments &amp; Results</w:t>
      </w:r>
    </w:p>
    <w:p>
      <w:pPr>
        <w:spacing w:after="120" w:line="276" w:lineRule="auto"/>
      </w:pPr>
      <w:r>
        <w:rPr>
          <w:rFonts w:ascii="Calibri" w:hAnsi="Calibri"/>
          <w:b w:val="0"/>
          <w:sz w:val="22"/>
        </w:rPr>
        <w:t>The complete ablation experiment was executed on May 14-15, 2026. All 28 stocks received real market data via Yahoo Direct (1,599 rows per stock, covering 2020-2024) and real financial news via Finnhub (11,695 articles total, ranging from 904 articles for BA to 1,437 for JNJ). Three tickers (DIS, NFLX, NEE) received synthetic market data on the initial run due to Alpha Vantage daily quota exhaustion, but the experiment was re-run with Yahoo Direct successfully serving all stocks. Total runtime was approximately 8 hours (168 training runs = 28 tickers x 2 conditions x 3 seeds, each run training 200 episodes).</w:t>
      </w:r>
    </w:p>
    <w:p>
      <w:pPr>
        <w:pStyle w:val="Heading2"/>
      </w:pPr>
      <w:r>
        <w:rPr>
          <w:rFonts w:ascii="Calibri" w:hAnsi="Calibri"/>
        </w:rPr>
        <w:t>5.1 Layer 1: NLP Contribution (Ablation Delta)</w:t>
      </w:r>
    </w:p>
    <w:p>
      <w:pPr>
        <w:spacing w:after="120" w:line="276" w:lineRule="auto"/>
      </w:pPr>
      <w:r>
        <w:rPr>
          <w:rFonts w:ascii="Calibri" w:hAnsi="Calibri"/>
          <w:b w:val="0"/>
          <w:sz w:val="22"/>
        </w:rPr>
        <w:t>The primary result of the ablation study: NLP-derived sentiment signals improve the Sharpe Ratio in 12 of 28 stocks (42.9%), produce no meaningful change in 5 stocks (17.9%), and reduce the Sharpe Ratio in 11 stocks (39.3%).</w:t>
      </w:r>
    </w:p>
    <w:p>
      <w:pPr>
        <w:spacing w:after="120" w:line="276" w:lineRule="auto"/>
      </w:pPr>
      <w:r>
        <w:rPr>
          <w:rFonts w:ascii="Calibri" w:hAnsi="Calibri"/>
          <w:b/>
          <w:sz w:val="22"/>
        </w:rPr>
        <w:t>Overall Classification: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b/>
                <w:sz w:val="19"/>
              </w:rPr>
              <w:t>Category</w:t>
            </w:r>
          </w:p>
        </w:tc>
        <w:tc>
          <w:tcPr>
            <w:tcW w:type="dxa" w:w="2160"/>
          </w:tcPr>
          <w:p>
            <w:pPr>
              <w:jc w:val="center"/>
            </w:pPr>
            <w:r>
              <w:rPr>
                <w:rFonts w:ascii="Calibri" w:hAnsi="Calibri"/>
                <w:b/>
                <w:sz w:val="19"/>
              </w:rPr>
              <w:t>Count</w:t>
            </w:r>
          </w:p>
        </w:tc>
        <w:tc>
          <w:tcPr>
            <w:tcW w:type="dxa" w:w="2160"/>
          </w:tcPr>
          <w:p>
            <w:pPr>
              <w:jc w:val="center"/>
            </w:pPr>
            <w:r>
              <w:rPr>
                <w:rFonts w:ascii="Calibri" w:hAnsi="Calibri"/>
                <w:b/>
                <w:sz w:val="19"/>
              </w:rPr>
              <w:t>Percentage</w:t>
            </w:r>
          </w:p>
        </w:tc>
        <w:tc>
          <w:tcPr>
            <w:tcW w:type="dxa" w:w="2160"/>
          </w:tcPr>
          <w:p>
            <w:pPr>
              <w:jc w:val="center"/>
            </w:pPr>
            <w:r>
              <w:rPr>
                <w:rFonts w:ascii="Calibri" w:hAnsi="Calibri"/>
                <w:b/>
                <w:sz w:val="19"/>
              </w:rPr>
              <w:t>Interpretation</w:t>
            </w:r>
          </w:p>
        </w:tc>
      </w:tr>
      <w:tr>
        <w:tc>
          <w:tcPr>
            <w:tcW w:type="dxa" w:w="2160"/>
          </w:tcPr>
          <w:p>
            <w:r>
              <w:rPr>
                <w:rFonts w:ascii="Calibri" w:hAnsi="Calibri"/>
                <w:sz w:val="18"/>
              </w:rPr>
              <w:t>NLP Improves Sharpe</w:t>
            </w:r>
          </w:p>
        </w:tc>
        <w:tc>
          <w:tcPr>
            <w:tcW w:type="dxa" w:w="2160"/>
          </w:tcPr>
          <w:p>
            <w:r>
              <w:rPr>
                <w:rFonts w:ascii="Calibri" w:hAnsi="Calibri"/>
                <w:sz w:val="18"/>
              </w:rPr>
              <w:t>12 / 28</w:t>
            </w:r>
          </w:p>
        </w:tc>
        <w:tc>
          <w:tcPr>
            <w:tcW w:type="dxa" w:w="2160"/>
          </w:tcPr>
          <w:p>
            <w:r>
              <w:rPr>
                <w:rFonts w:ascii="Calibri" w:hAnsi="Calibri"/>
                <w:sz w:val="18"/>
              </w:rPr>
              <w:t>42.9%</w:t>
            </w:r>
          </w:p>
        </w:tc>
        <w:tc>
          <w:tcPr>
            <w:tcW w:type="dxa" w:w="2160"/>
          </w:tcPr>
          <w:p>
            <w:r>
              <w:rPr>
                <w:rFonts w:ascii="Calibri" w:hAnsi="Calibri"/>
                <w:sz w:val="18"/>
              </w:rPr>
              <w:t>Sentiment signal adds value beyond price</w:t>
            </w:r>
          </w:p>
        </w:tc>
      </w:tr>
      <w:tr>
        <w:tc>
          <w:tcPr>
            <w:tcW w:type="dxa" w:w="2160"/>
          </w:tcPr>
          <w:p>
            <w:r>
              <w:rPr>
                <w:rFonts w:ascii="Calibri" w:hAnsi="Calibri"/>
                <w:sz w:val="18"/>
              </w:rPr>
              <w:t>NLP Neutral</w:t>
            </w:r>
          </w:p>
        </w:tc>
        <w:tc>
          <w:tcPr>
            <w:tcW w:type="dxa" w:w="2160"/>
          </w:tcPr>
          <w:p>
            <w:r>
              <w:rPr>
                <w:rFonts w:ascii="Calibri" w:hAnsi="Calibri"/>
                <w:sz w:val="18"/>
              </w:rPr>
              <w:t>5 / 28</w:t>
            </w:r>
          </w:p>
        </w:tc>
        <w:tc>
          <w:tcPr>
            <w:tcW w:type="dxa" w:w="2160"/>
          </w:tcPr>
          <w:p>
            <w:r>
              <w:rPr>
                <w:rFonts w:ascii="Calibri" w:hAnsi="Calibri"/>
                <w:sz w:val="18"/>
              </w:rPr>
              <w:t>17.9%</w:t>
            </w:r>
          </w:p>
        </w:tc>
        <w:tc>
          <w:tcPr>
            <w:tcW w:type="dxa" w:w="2160"/>
          </w:tcPr>
          <w:p>
            <w:r>
              <w:rPr>
                <w:rFonts w:ascii="Calibri" w:hAnsi="Calibri"/>
                <w:sz w:val="18"/>
              </w:rPr>
              <w:t>Agent ignores sentiment; price dominates</w:t>
            </w:r>
          </w:p>
        </w:tc>
      </w:tr>
      <w:tr>
        <w:tc>
          <w:tcPr>
            <w:tcW w:type="dxa" w:w="2160"/>
          </w:tcPr>
          <w:p>
            <w:r>
              <w:rPr>
                <w:rFonts w:ascii="Calibri" w:hAnsi="Calibri"/>
                <w:sz w:val="18"/>
              </w:rPr>
              <w:t>NLP Reduces Sharpe</w:t>
            </w:r>
          </w:p>
        </w:tc>
        <w:tc>
          <w:tcPr>
            <w:tcW w:type="dxa" w:w="2160"/>
          </w:tcPr>
          <w:p>
            <w:r>
              <w:rPr>
                <w:rFonts w:ascii="Calibri" w:hAnsi="Calibri"/>
                <w:sz w:val="18"/>
              </w:rPr>
              <w:t>11 / 28</w:t>
            </w:r>
          </w:p>
        </w:tc>
        <w:tc>
          <w:tcPr>
            <w:tcW w:type="dxa" w:w="2160"/>
          </w:tcPr>
          <w:p>
            <w:r>
              <w:rPr>
                <w:rFonts w:ascii="Calibri" w:hAnsi="Calibri"/>
                <w:sz w:val="18"/>
              </w:rPr>
              <w:t>39.3%</w:t>
            </w:r>
          </w:p>
        </w:tc>
        <w:tc>
          <w:tcPr>
            <w:tcW w:type="dxa" w:w="2160"/>
          </w:tcPr>
          <w:p>
            <w:r>
              <w:rPr>
                <w:rFonts w:ascii="Calibri" w:hAnsi="Calibri"/>
                <w:sz w:val="18"/>
              </w:rPr>
              <w:t>Sentiment adds noise, degrades decisions</w:t>
            </w:r>
          </w:p>
        </w:tc>
      </w:tr>
    </w:tbl>
    <w:p/>
    <w:p>
      <w:pPr>
        <w:spacing w:after="120" w:line="276" w:lineRule="auto"/>
      </w:pPr>
      <w:r>
        <w:rPr>
          <w:rFonts w:ascii="Calibri" w:hAnsi="Calibri"/>
          <w:b/>
          <w:sz w:val="22"/>
        </w:rPr>
        <w:t>Top 5 NLP Beneficiaries (Largest Positive Delta-Sharpe):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Calibri" w:hAnsi="Calibri"/>
                <w:b/>
                <w:sz w:val="19"/>
              </w:rPr>
              <w:t>Rank</w:t>
            </w:r>
          </w:p>
        </w:tc>
        <w:tc>
          <w:tcPr>
            <w:tcW w:type="dxa" w:w="1234"/>
          </w:tcPr>
          <w:p>
            <w:pPr>
              <w:jc w:val="center"/>
            </w:pPr>
            <w:r>
              <w:rPr>
                <w:rFonts w:ascii="Calibri" w:hAnsi="Calibri"/>
                <w:b/>
                <w:sz w:val="19"/>
              </w:rPr>
              <w:t>Ticker</w:t>
            </w:r>
          </w:p>
        </w:tc>
        <w:tc>
          <w:tcPr>
            <w:tcW w:type="dxa" w:w="1234"/>
          </w:tcPr>
          <w:p>
            <w:pPr>
              <w:jc w:val="center"/>
            </w:pPr>
            <w:r>
              <w:rPr>
                <w:rFonts w:ascii="Calibri" w:hAnsi="Calibri"/>
                <w:b/>
                <w:sz w:val="19"/>
              </w:rPr>
              <w:t>Sector</w:t>
            </w:r>
          </w:p>
        </w:tc>
        <w:tc>
          <w:tcPr>
            <w:tcW w:type="dxa" w:w="1234"/>
          </w:tcPr>
          <w:p>
            <w:pPr>
              <w:jc w:val="center"/>
            </w:pPr>
            <w:r>
              <w:rPr>
                <w:rFonts w:ascii="Calibri" w:hAnsi="Calibri"/>
                <w:b/>
                <w:sz w:val="19"/>
              </w:rPr>
              <w:t>Delta-Sharpe</w:t>
            </w:r>
          </w:p>
        </w:tc>
        <w:tc>
          <w:tcPr>
            <w:tcW w:type="dxa" w:w="1234"/>
          </w:tcPr>
          <w:p>
            <w:pPr>
              <w:jc w:val="center"/>
            </w:pPr>
            <w:r>
              <w:rPr>
                <w:rFonts w:ascii="Calibri" w:hAnsi="Calibri"/>
                <w:b/>
                <w:sz w:val="19"/>
              </w:rPr>
              <w:t>Delta-Return</w:t>
            </w:r>
          </w:p>
        </w:tc>
        <w:tc>
          <w:tcPr>
            <w:tcW w:type="dxa" w:w="1234"/>
          </w:tcPr>
          <w:p>
            <w:pPr>
              <w:jc w:val="center"/>
            </w:pPr>
            <w:r>
              <w:rPr>
                <w:rFonts w:ascii="Calibri" w:hAnsi="Calibri"/>
                <w:b/>
                <w:sz w:val="19"/>
              </w:rPr>
              <w:t>Sharpe Std</w:t>
              <w:br/>
              <w:t>(3 seeds)</w:t>
            </w:r>
          </w:p>
        </w:tc>
        <w:tc>
          <w:tcPr>
            <w:tcW w:type="dxa" w:w="1234"/>
          </w:tcPr>
          <w:p>
            <w:pPr>
              <w:jc w:val="center"/>
            </w:pPr>
            <w:r>
              <w:rPr>
                <w:rFonts w:ascii="Calibri" w:hAnsi="Calibri"/>
                <w:b/>
                <w:sz w:val="19"/>
              </w:rPr>
              <w:t>Confidence</w:t>
            </w:r>
          </w:p>
        </w:tc>
      </w:tr>
      <w:tr>
        <w:tc>
          <w:tcPr>
            <w:tcW w:type="dxa" w:w="1234"/>
          </w:tcPr>
          <w:p>
            <w:r>
              <w:rPr>
                <w:rFonts w:ascii="Calibri" w:hAnsi="Calibri"/>
                <w:sz w:val="18"/>
              </w:rPr>
              <w:t>1</w:t>
            </w:r>
          </w:p>
        </w:tc>
        <w:tc>
          <w:tcPr>
            <w:tcW w:type="dxa" w:w="1234"/>
          </w:tcPr>
          <w:p>
            <w:r>
              <w:rPr>
                <w:rFonts w:ascii="Calibri" w:hAnsi="Calibri"/>
                <w:sz w:val="18"/>
              </w:rPr>
              <w:t>DIS</w:t>
            </w:r>
          </w:p>
        </w:tc>
        <w:tc>
          <w:tcPr>
            <w:tcW w:type="dxa" w:w="1234"/>
          </w:tcPr>
          <w:p>
            <w:r>
              <w:rPr>
                <w:rFonts w:ascii="Calibri" w:hAnsi="Calibri"/>
                <w:sz w:val="18"/>
              </w:rPr>
              <w:t>Energy/Industrial</w:t>
            </w:r>
          </w:p>
        </w:tc>
        <w:tc>
          <w:tcPr>
            <w:tcW w:type="dxa" w:w="1234"/>
          </w:tcPr>
          <w:p>
            <w:r>
              <w:rPr>
                <w:rFonts w:ascii="Calibri" w:hAnsi="Calibri"/>
                <w:sz w:val="18"/>
              </w:rPr>
              <w:t>+1.978</w:t>
            </w:r>
          </w:p>
        </w:tc>
        <w:tc>
          <w:tcPr>
            <w:tcW w:type="dxa" w:w="1234"/>
          </w:tcPr>
          <w:p>
            <w:r>
              <w:rPr>
                <w:rFonts w:ascii="Calibri" w:hAnsi="Calibri"/>
                <w:sz w:val="18"/>
              </w:rPr>
              <w:t>+69.0%</w:t>
            </w:r>
          </w:p>
        </w:tc>
        <w:tc>
          <w:tcPr>
            <w:tcW w:type="dxa" w:w="1234"/>
          </w:tcPr>
          <w:p>
            <w:r>
              <w:rPr>
                <w:rFonts w:ascii="Calibri" w:hAnsi="Calibri"/>
                <w:sz w:val="18"/>
              </w:rPr>
              <w:t>0.588</w:t>
            </w:r>
          </w:p>
        </w:tc>
        <w:tc>
          <w:tcPr>
            <w:tcW w:type="dxa" w:w="1234"/>
          </w:tcPr>
          <w:p>
            <w:r>
              <w:rPr>
                <w:rFonts w:ascii="Calibri" w:hAnsi="Calibri"/>
                <w:sz w:val="18"/>
              </w:rPr>
              <w:t>High (low variance)</w:t>
            </w:r>
          </w:p>
        </w:tc>
      </w:tr>
      <w:tr>
        <w:tc>
          <w:tcPr>
            <w:tcW w:type="dxa" w:w="1234"/>
          </w:tcPr>
          <w:p>
            <w:r>
              <w:rPr>
                <w:rFonts w:ascii="Calibri" w:hAnsi="Calibri"/>
                <w:sz w:val="18"/>
              </w:rPr>
              <w:t>2</w:t>
            </w:r>
          </w:p>
        </w:tc>
        <w:tc>
          <w:tcPr>
            <w:tcW w:type="dxa" w:w="1234"/>
          </w:tcPr>
          <w:p>
            <w:r>
              <w:rPr>
                <w:rFonts w:ascii="Calibri" w:hAnsi="Calibri"/>
                <w:sz w:val="18"/>
              </w:rPr>
              <w:t>MSFT</w:t>
            </w:r>
          </w:p>
        </w:tc>
        <w:tc>
          <w:tcPr>
            <w:tcW w:type="dxa" w:w="1234"/>
          </w:tcPr>
          <w:p>
            <w:r>
              <w:rPr>
                <w:rFonts w:ascii="Calibri" w:hAnsi="Calibri"/>
                <w:sz w:val="18"/>
              </w:rPr>
              <w:t>Technology</w:t>
            </w:r>
          </w:p>
        </w:tc>
        <w:tc>
          <w:tcPr>
            <w:tcW w:type="dxa" w:w="1234"/>
          </w:tcPr>
          <w:p>
            <w:r>
              <w:rPr>
                <w:rFonts w:ascii="Calibri" w:hAnsi="Calibri"/>
                <w:sz w:val="18"/>
              </w:rPr>
              <w:t>+1.602</w:t>
            </w:r>
          </w:p>
        </w:tc>
        <w:tc>
          <w:tcPr>
            <w:tcW w:type="dxa" w:w="1234"/>
          </w:tcPr>
          <w:p>
            <w:r>
              <w:rPr>
                <w:rFonts w:ascii="Calibri" w:hAnsi="Calibri"/>
                <w:sz w:val="18"/>
              </w:rPr>
              <w:t>+13.4%</w:t>
            </w:r>
          </w:p>
        </w:tc>
        <w:tc>
          <w:tcPr>
            <w:tcW w:type="dxa" w:w="1234"/>
          </w:tcPr>
          <w:p>
            <w:r>
              <w:rPr>
                <w:rFonts w:ascii="Calibri" w:hAnsi="Calibri"/>
                <w:sz w:val="18"/>
              </w:rPr>
              <w:t>1.017</w:t>
            </w:r>
          </w:p>
        </w:tc>
        <w:tc>
          <w:tcPr>
            <w:tcW w:type="dxa" w:w="1234"/>
          </w:tcPr>
          <w:p>
            <w:r>
              <w:rPr>
                <w:rFonts w:ascii="Calibri" w:hAnsi="Calibri"/>
                <w:sz w:val="18"/>
              </w:rPr>
              <w:t>Moderate</w:t>
            </w:r>
          </w:p>
        </w:tc>
      </w:tr>
      <w:tr>
        <w:tc>
          <w:tcPr>
            <w:tcW w:type="dxa" w:w="1234"/>
          </w:tcPr>
          <w:p>
            <w:r>
              <w:rPr>
                <w:rFonts w:ascii="Calibri" w:hAnsi="Calibri"/>
                <w:sz w:val="18"/>
              </w:rPr>
              <w:t>3</w:t>
            </w:r>
          </w:p>
        </w:tc>
        <w:tc>
          <w:tcPr>
            <w:tcW w:type="dxa" w:w="1234"/>
          </w:tcPr>
          <w:p>
            <w:r>
              <w:rPr>
                <w:rFonts w:ascii="Calibri" w:hAnsi="Calibri"/>
                <w:sz w:val="18"/>
              </w:rPr>
              <w:t>ABBV</w:t>
            </w:r>
          </w:p>
        </w:tc>
        <w:tc>
          <w:tcPr>
            <w:tcW w:type="dxa" w:w="1234"/>
          </w:tcPr>
          <w:p>
            <w:r>
              <w:rPr>
                <w:rFonts w:ascii="Calibri" w:hAnsi="Calibri"/>
                <w:sz w:val="18"/>
              </w:rPr>
              <w:t>Healthcare</w:t>
            </w:r>
          </w:p>
        </w:tc>
        <w:tc>
          <w:tcPr>
            <w:tcW w:type="dxa" w:w="1234"/>
          </w:tcPr>
          <w:p>
            <w:r>
              <w:rPr>
                <w:rFonts w:ascii="Calibri" w:hAnsi="Calibri"/>
                <w:sz w:val="18"/>
              </w:rPr>
              <w:t>+0.855</w:t>
            </w:r>
          </w:p>
        </w:tc>
        <w:tc>
          <w:tcPr>
            <w:tcW w:type="dxa" w:w="1234"/>
          </w:tcPr>
          <w:p>
            <w:r>
              <w:rPr>
                <w:rFonts w:ascii="Calibri" w:hAnsi="Calibri"/>
                <w:sz w:val="18"/>
              </w:rPr>
              <w:t>+10.6%</w:t>
            </w:r>
          </w:p>
        </w:tc>
        <w:tc>
          <w:tcPr>
            <w:tcW w:type="dxa" w:w="1234"/>
          </w:tcPr>
          <w:p>
            <w:r>
              <w:rPr>
                <w:rFonts w:ascii="Calibri" w:hAnsi="Calibri"/>
                <w:sz w:val="18"/>
              </w:rPr>
              <w:t>0.986</w:t>
            </w:r>
          </w:p>
        </w:tc>
        <w:tc>
          <w:tcPr>
            <w:tcW w:type="dxa" w:w="1234"/>
          </w:tcPr>
          <w:p>
            <w:r>
              <w:rPr>
                <w:rFonts w:ascii="Calibri" w:hAnsi="Calibri"/>
                <w:sz w:val="18"/>
              </w:rPr>
              <w:t>Moderate</w:t>
            </w:r>
          </w:p>
        </w:tc>
      </w:tr>
      <w:tr>
        <w:tc>
          <w:tcPr>
            <w:tcW w:type="dxa" w:w="1234"/>
          </w:tcPr>
          <w:p>
            <w:r>
              <w:rPr>
                <w:rFonts w:ascii="Calibri" w:hAnsi="Calibri"/>
                <w:sz w:val="18"/>
              </w:rPr>
              <w:t>4</w:t>
            </w:r>
          </w:p>
        </w:tc>
        <w:tc>
          <w:tcPr>
            <w:tcW w:type="dxa" w:w="1234"/>
          </w:tcPr>
          <w:p>
            <w:r>
              <w:rPr>
                <w:rFonts w:ascii="Calibri" w:hAnsi="Calibri"/>
                <w:sz w:val="18"/>
              </w:rPr>
              <w:t>PEP</w:t>
            </w:r>
          </w:p>
        </w:tc>
        <w:tc>
          <w:tcPr>
            <w:tcW w:type="dxa" w:w="1234"/>
          </w:tcPr>
          <w:p>
            <w:r>
              <w:rPr>
                <w:rFonts w:ascii="Calibri" w:hAnsi="Calibri"/>
                <w:sz w:val="18"/>
              </w:rPr>
              <w:t>Consumer</w:t>
            </w:r>
          </w:p>
        </w:tc>
        <w:tc>
          <w:tcPr>
            <w:tcW w:type="dxa" w:w="1234"/>
          </w:tcPr>
          <w:p>
            <w:r>
              <w:rPr>
                <w:rFonts w:ascii="Calibri" w:hAnsi="Calibri"/>
                <w:sz w:val="18"/>
              </w:rPr>
              <w:t>+0.789</w:t>
            </w:r>
          </w:p>
        </w:tc>
        <w:tc>
          <w:tcPr>
            <w:tcW w:type="dxa" w:w="1234"/>
          </w:tcPr>
          <w:p>
            <w:r>
              <w:rPr>
                <w:rFonts w:ascii="Calibri" w:hAnsi="Calibri"/>
                <w:sz w:val="18"/>
              </w:rPr>
              <w:t>+3.1%</w:t>
            </w:r>
          </w:p>
        </w:tc>
        <w:tc>
          <w:tcPr>
            <w:tcW w:type="dxa" w:w="1234"/>
          </w:tcPr>
          <w:p>
            <w:r>
              <w:rPr>
                <w:rFonts w:ascii="Calibri" w:hAnsi="Calibri"/>
                <w:sz w:val="18"/>
              </w:rPr>
              <w:t>0.667</w:t>
            </w:r>
          </w:p>
        </w:tc>
        <w:tc>
          <w:tcPr>
            <w:tcW w:type="dxa" w:w="1234"/>
          </w:tcPr>
          <w:p>
            <w:r>
              <w:rPr>
                <w:rFonts w:ascii="Calibri" w:hAnsi="Calibri"/>
                <w:sz w:val="18"/>
              </w:rPr>
              <w:t>Moderate</w:t>
            </w:r>
          </w:p>
        </w:tc>
      </w:tr>
      <w:tr>
        <w:tc>
          <w:tcPr>
            <w:tcW w:type="dxa" w:w="1234"/>
          </w:tcPr>
          <w:p>
            <w:r>
              <w:rPr>
                <w:rFonts w:ascii="Calibri" w:hAnsi="Calibri"/>
                <w:sz w:val="18"/>
              </w:rPr>
              <w:t>5</w:t>
            </w:r>
          </w:p>
        </w:tc>
        <w:tc>
          <w:tcPr>
            <w:tcW w:type="dxa" w:w="1234"/>
          </w:tcPr>
          <w:p>
            <w:r>
              <w:rPr>
                <w:rFonts w:ascii="Calibri" w:hAnsi="Calibri"/>
                <w:sz w:val="18"/>
              </w:rPr>
              <w:t>META</w:t>
            </w:r>
          </w:p>
        </w:tc>
        <w:tc>
          <w:tcPr>
            <w:tcW w:type="dxa" w:w="1234"/>
          </w:tcPr>
          <w:p>
            <w:r>
              <w:rPr>
                <w:rFonts w:ascii="Calibri" w:hAnsi="Calibri"/>
                <w:sz w:val="18"/>
              </w:rPr>
              <w:t>Technology</w:t>
            </w:r>
          </w:p>
        </w:tc>
        <w:tc>
          <w:tcPr>
            <w:tcW w:type="dxa" w:w="1234"/>
          </w:tcPr>
          <w:p>
            <w:r>
              <w:rPr>
                <w:rFonts w:ascii="Calibri" w:hAnsi="Calibri"/>
                <w:sz w:val="18"/>
              </w:rPr>
              <w:t>+0.639</w:t>
            </w:r>
          </w:p>
        </w:tc>
        <w:tc>
          <w:tcPr>
            <w:tcW w:type="dxa" w:w="1234"/>
          </w:tcPr>
          <w:p>
            <w:r>
              <w:rPr>
                <w:rFonts w:ascii="Calibri" w:hAnsi="Calibri"/>
                <w:sz w:val="18"/>
              </w:rPr>
              <w:t>+3.8%</w:t>
            </w:r>
          </w:p>
        </w:tc>
        <w:tc>
          <w:tcPr>
            <w:tcW w:type="dxa" w:w="1234"/>
          </w:tcPr>
          <w:p>
            <w:r>
              <w:rPr>
                <w:rFonts w:ascii="Calibri" w:hAnsi="Calibri"/>
                <w:sz w:val="18"/>
              </w:rPr>
              <w:t>0.347</w:t>
            </w:r>
          </w:p>
        </w:tc>
        <w:tc>
          <w:tcPr>
            <w:tcW w:type="dxa" w:w="1234"/>
          </w:tcPr>
          <w:p>
            <w:r>
              <w:rPr>
                <w:rFonts w:ascii="Calibri" w:hAnsi="Calibri"/>
                <w:sz w:val="18"/>
              </w:rPr>
              <w:t>High (low variance)</w:t>
            </w:r>
          </w:p>
        </w:tc>
      </w:tr>
    </w:tbl>
    <w:p/>
    <w:p>
      <w:pPr>
        <w:spacing w:after="120" w:line="276" w:lineRule="auto"/>
      </w:pPr>
      <w:r>
        <w:rPr>
          <w:rFonts w:ascii="Calibri" w:hAnsi="Calibri"/>
          <w:b/>
          <w:sz w:val="22"/>
        </w:rPr>
        <w:t>Top 5 NLP Detractors (Largest Negative Delta-Sharpe):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Calibri" w:hAnsi="Calibri"/>
                <w:b/>
                <w:sz w:val="19"/>
              </w:rPr>
              <w:t>Rank</w:t>
            </w:r>
          </w:p>
        </w:tc>
        <w:tc>
          <w:tcPr>
            <w:tcW w:type="dxa" w:w="1234"/>
          </w:tcPr>
          <w:p>
            <w:pPr>
              <w:jc w:val="center"/>
            </w:pPr>
            <w:r>
              <w:rPr>
                <w:rFonts w:ascii="Calibri" w:hAnsi="Calibri"/>
                <w:b/>
                <w:sz w:val="19"/>
              </w:rPr>
              <w:t>Ticker</w:t>
            </w:r>
          </w:p>
        </w:tc>
        <w:tc>
          <w:tcPr>
            <w:tcW w:type="dxa" w:w="1234"/>
          </w:tcPr>
          <w:p>
            <w:pPr>
              <w:jc w:val="center"/>
            </w:pPr>
            <w:r>
              <w:rPr>
                <w:rFonts w:ascii="Calibri" w:hAnsi="Calibri"/>
                <w:b/>
                <w:sz w:val="19"/>
              </w:rPr>
              <w:t>Sector</w:t>
            </w:r>
          </w:p>
        </w:tc>
        <w:tc>
          <w:tcPr>
            <w:tcW w:type="dxa" w:w="1234"/>
          </w:tcPr>
          <w:p>
            <w:pPr>
              <w:jc w:val="center"/>
            </w:pPr>
            <w:r>
              <w:rPr>
                <w:rFonts w:ascii="Calibri" w:hAnsi="Calibri"/>
                <w:b/>
                <w:sz w:val="19"/>
              </w:rPr>
              <w:t>Delta-Sharpe</w:t>
            </w:r>
          </w:p>
        </w:tc>
        <w:tc>
          <w:tcPr>
            <w:tcW w:type="dxa" w:w="1234"/>
          </w:tcPr>
          <w:p>
            <w:pPr>
              <w:jc w:val="center"/>
            </w:pPr>
            <w:r>
              <w:rPr>
                <w:rFonts w:ascii="Calibri" w:hAnsi="Calibri"/>
                <w:b/>
                <w:sz w:val="19"/>
              </w:rPr>
              <w:t>Delta-Return</w:t>
            </w:r>
          </w:p>
        </w:tc>
        <w:tc>
          <w:tcPr>
            <w:tcW w:type="dxa" w:w="1234"/>
          </w:tcPr>
          <w:p>
            <w:pPr>
              <w:jc w:val="center"/>
            </w:pPr>
            <w:r>
              <w:rPr>
                <w:rFonts w:ascii="Calibri" w:hAnsi="Calibri"/>
                <w:b/>
                <w:sz w:val="19"/>
              </w:rPr>
              <w:t>Sharpe Std</w:t>
              <w:br/>
              <w:t>(3 seeds)</w:t>
            </w:r>
          </w:p>
        </w:tc>
        <w:tc>
          <w:tcPr>
            <w:tcW w:type="dxa" w:w="1234"/>
          </w:tcPr>
          <w:p>
            <w:pPr>
              <w:jc w:val="center"/>
            </w:pPr>
            <w:r>
              <w:rPr>
                <w:rFonts w:ascii="Calibri" w:hAnsi="Calibri"/>
                <w:b/>
                <w:sz w:val="19"/>
              </w:rPr>
              <w:t>Interpretation</w:t>
            </w:r>
          </w:p>
        </w:tc>
      </w:tr>
      <w:tr>
        <w:tc>
          <w:tcPr>
            <w:tcW w:type="dxa" w:w="1234"/>
          </w:tcPr>
          <w:p>
            <w:r>
              <w:rPr>
                <w:rFonts w:ascii="Calibri" w:hAnsi="Calibri"/>
                <w:sz w:val="18"/>
              </w:rPr>
              <w:t>1</w:t>
            </w:r>
          </w:p>
        </w:tc>
        <w:tc>
          <w:tcPr>
            <w:tcW w:type="dxa" w:w="1234"/>
          </w:tcPr>
          <w:p>
            <w:r>
              <w:rPr>
                <w:rFonts w:ascii="Calibri" w:hAnsi="Calibri"/>
                <w:sz w:val="18"/>
              </w:rPr>
              <w:t>NVDA</w:t>
            </w:r>
          </w:p>
        </w:tc>
        <w:tc>
          <w:tcPr>
            <w:tcW w:type="dxa" w:w="1234"/>
          </w:tcPr>
          <w:p>
            <w:r>
              <w:rPr>
                <w:rFonts w:ascii="Calibri" w:hAnsi="Calibri"/>
                <w:sz w:val="18"/>
              </w:rPr>
              <w:t>Technology</w:t>
            </w:r>
          </w:p>
        </w:tc>
        <w:tc>
          <w:tcPr>
            <w:tcW w:type="dxa" w:w="1234"/>
          </w:tcPr>
          <w:p>
            <w:r>
              <w:rPr>
                <w:rFonts w:ascii="Calibri" w:hAnsi="Calibri"/>
                <w:sz w:val="18"/>
              </w:rPr>
              <w:t>-0.861</w:t>
            </w:r>
          </w:p>
        </w:tc>
        <w:tc>
          <w:tcPr>
            <w:tcW w:type="dxa" w:w="1234"/>
          </w:tcPr>
          <w:p>
            <w:r>
              <w:rPr>
                <w:rFonts w:ascii="Calibri" w:hAnsi="Calibri"/>
                <w:sz w:val="18"/>
              </w:rPr>
              <w:t>-6.3%</w:t>
            </w:r>
          </w:p>
        </w:tc>
        <w:tc>
          <w:tcPr>
            <w:tcW w:type="dxa" w:w="1234"/>
          </w:tcPr>
          <w:p>
            <w:r>
              <w:rPr>
                <w:rFonts w:ascii="Calibri" w:hAnsi="Calibri"/>
                <w:sz w:val="18"/>
              </w:rPr>
              <w:t>1.056</w:t>
            </w:r>
          </w:p>
        </w:tc>
        <w:tc>
          <w:tcPr>
            <w:tcW w:type="dxa" w:w="1234"/>
          </w:tcPr>
          <w:p>
            <w:r>
              <w:rPr>
                <w:rFonts w:ascii="Calibri" w:hAnsi="Calibri"/>
                <w:sz w:val="18"/>
              </w:rPr>
              <w:t>NLP adds noise to efficient stock</w:t>
            </w:r>
          </w:p>
        </w:tc>
      </w:tr>
      <w:tr>
        <w:tc>
          <w:tcPr>
            <w:tcW w:type="dxa" w:w="1234"/>
          </w:tcPr>
          <w:p>
            <w:r>
              <w:rPr>
                <w:rFonts w:ascii="Calibri" w:hAnsi="Calibri"/>
                <w:sz w:val="18"/>
              </w:rPr>
              <w:t>2</w:t>
            </w:r>
          </w:p>
        </w:tc>
        <w:tc>
          <w:tcPr>
            <w:tcW w:type="dxa" w:w="1234"/>
          </w:tcPr>
          <w:p>
            <w:r>
              <w:rPr>
                <w:rFonts w:ascii="Calibri" w:hAnsi="Calibri"/>
                <w:sz w:val="18"/>
              </w:rPr>
              <w:t>NKE</w:t>
            </w:r>
          </w:p>
        </w:tc>
        <w:tc>
          <w:tcPr>
            <w:tcW w:type="dxa" w:w="1234"/>
          </w:tcPr>
          <w:p>
            <w:r>
              <w:rPr>
                <w:rFonts w:ascii="Calibri" w:hAnsi="Calibri"/>
                <w:sz w:val="18"/>
              </w:rPr>
              <w:t>Consumer</w:t>
            </w:r>
          </w:p>
        </w:tc>
        <w:tc>
          <w:tcPr>
            <w:tcW w:type="dxa" w:w="1234"/>
          </w:tcPr>
          <w:p>
            <w:r>
              <w:rPr>
                <w:rFonts w:ascii="Calibri" w:hAnsi="Calibri"/>
                <w:sz w:val="18"/>
              </w:rPr>
              <w:t>-0.811</w:t>
            </w:r>
          </w:p>
        </w:tc>
        <w:tc>
          <w:tcPr>
            <w:tcW w:type="dxa" w:w="1234"/>
          </w:tcPr>
          <w:p>
            <w:r>
              <w:rPr>
                <w:rFonts w:ascii="Calibri" w:hAnsi="Calibri"/>
                <w:sz w:val="18"/>
              </w:rPr>
              <w:t>+0.2%</w:t>
            </w:r>
          </w:p>
        </w:tc>
        <w:tc>
          <w:tcPr>
            <w:tcW w:type="dxa" w:w="1234"/>
          </w:tcPr>
          <w:p>
            <w:r>
              <w:rPr>
                <w:rFonts w:ascii="Calibri" w:hAnsi="Calibri"/>
                <w:sz w:val="18"/>
              </w:rPr>
              <w:t>2.551</w:t>
            </w:r>
          </w:p>
        </w:tc>
        <w:tc>
          <w:tcPr>
            <w:tcW w:type="dxa" w:w="1234"/>
          </w:tcPr>
          <w:p>
            <w:r>
              <w:rPr>
                <w:rFonts w:ascii="Calibri" w:hAnsi="Calibri"/>
                <w:sz w:val="18"/>
              </w:rPr>
              <w:t>Very high seed variance</w:t>
            </w:r>
          </w:p>
        </w:tc>
      </w:tr>
      <w:tr>
        <w:tc>
          <w:tcPr>
            <w:tcW w:type="dxa" w:w="1234"/>
          </w:tcPr>
          <w:p>
            <w:r>
              <w:rPr>
                <w:rFonts w:ascii="Calibri" w:hAnsi="Calibri"/>
                <w:sz w:val="18"/>
              </w:rPr>
              <w:t>3</w:t>
            </w:r>
          </w:p>
        </w:tc>
        <w:tc>
          <w:tcPr>
            <w:tcW w:type="dxa" w:w="1234"/>
          </w:tcPr>
          <w:p>
            <w:r>
              <w:rPr>
                <w:rFonts w:ascii="Calibri" w:hAnsi="Calibri"/>
                <w:sz w:val="18"/>
              </w:rPr>
              <w:t>V</w:t>
            </w:r>
          </w:p>
        </w:tc>
        <w:tc>
          <w:tcPr>
            <w:tcW w:type="dxa" w:w="1234"/>
          </w:tcPr>
          <w:p>
            <w:r>
              <w:rPr>
                <w:rFonts w:ascii="Calibri" w:hAnsi="Calibri"/>
                <w:sz w:val="18"/>
              </w:rPr>
              <w:t>Finance</w:t>
            </w:r>
          </w:p>
        </w:tc>
        <w:tc>
          <w:tcPr>
            <w:tcW w:type="dxa" w:w="1234"/>
          </w:tcPr>
          <w:p>
            <w:r>
              <w:rPr>
                <w:rFonts w:ascii="Calibri" w:hAnsi="Calibri"/>
                <w:sz w:val="18"/>
              </w:rPr>
              <w:t>-0.744</w:t>
            </w:r>
          </w:p>
        </w:tc>
        <w:tc>
          <w:tcPr>
            <w:tcW w:type="dxa" w:w="1234"/>
          </w:tcPr>
          <w:p>
            <w:r>
              <w:rPr>
                <w:rFonts w:ascii="Calibri" w:hAnsi="Calibri"/>
                <w:sz w:val="18"/>
              </w:rPr>
              <w:t>-12.0%</w:t>
            </w:r>
          </w:p>
        </w:tc>
        <w:tc>
          <w:tcPr>
            <w:tcW w:type="dxa" w:w="1234"/>
          </w:tcPr>
          <w:p>
            <w:r>
              <w:rPr>
                <w:rFonts w:ascii="Calibri" w:hAnsi="Calibri"/>
                <w:sz w:val="18"/>
              </w:rPr>
              <w:t>0.520</w:t>
            </w:r>
          </w:p>
        </w:tc>
        <w:tc>
          <w:tcPr>
            <w:tcW w:type="dxa" w:w="1234"/>
          </w:tcPr>
          <w:p>
            <w:r>
              <w:rPr>
                <w:rFonts w:ascii="Calibri" w:hAnsi="Calibri"/>
                <w:sz w:val="18"/>
              </w:rPr>
              <w:t>Consistent NLP degradation</w:t>
            </w:r>
          </w:p>
        </w:tc>
      </w:tr>
      <w:tr>
        <w:tc>
          <w:tcPr>
            <w:tcW w:type="dxa" w:w="1234"/>
          </w:tcPr>
          <w:p>
            <w:r>
              <w:rPr>
                <w:rFonts w:ascii="Calibri" w:hAnsi="Calibri"/>
                <w:sz w:val="18"/>
              </w:rPr>
              <w:t>4</w:t>
            </w:r>
          </w:p>
        </w:tc>
        <w:tc>
          <w:tcPr>
            <w:tcW w:type="dxa" w:w="1234"/>
          </w:tcPr>
          <w:p>
            <w:r>
              <w:rPr>
                <w:rFonts w:ascii="Calibri" w:hAnsi="Calibri"/>
                <w:sz w:val="18"/>
              </w:rPr>
              <w:t>GS</w:t>
            </w:r>
          </w:p>
        </w:tc>
        <w:tc>
          <w:tcPr>
            <w:tcW w:type="dxa" w:w="1234"/>
          </w:tcPr>
          <w:p>
            <w:r>
              <w:rPr>
                <w:rFonts w:ascii="Calibri" w:hAnsi="Calibri"/>
                <w:sz w:val="18"/>
              </w:rPr>
              <w:t>Finance</w:t>
            </w:r>
          </w:p>
        </w:tc>
        <w:tc>
          <w:tcPr>
            <w:tcW w:type="dxa" w:w="1234"/>
          </w:tcPr>
          <w:p>
            <w:r>
              <w:rPr>
                <w:rFonts w:ascii="Calibri" w:hAnsi="Calibri"/>
                <w:sz w:val="18"/>
              </w:rPr>
              <w:t>-0.611</w:t>
            </w:r>
          </w:p>
        </w:tc>
        <w:tc>
          <w:tcPr>
            <w:tcW w:type="dxa" w:w="1234"/>
          </w:tcPr>
          <w:p>
            <w:r>
              <w:rPr>
                <w:rFonts w:ascii="Calibri" w:hAnsi="Calibri"/>
                <w:sz w:val="18"/>
              </w:rPr>
              <w:t>-0.9%</w:t>
            </w:r>
          </w:p>
        </w:tc>
        <w:tc>
          <w:tcPr>
            <w:tcW w:type="dxa" w:w="1234"/>
          </w:tcPr>
          <w:p>
            <w:r>
              <w:rPr>
                <w:rFonts w:ascii="Calibri" w:hAnsi="Calibri"/>
                <w:sz w:val="18"/>
              </w:rPr>
              <w:t>0.655</w:t>
            </w:r>
          </w:p>
        </w:tc>
        <w:tc>
          <w:tcPr>
            <w:tcW w:type="dxa" w:w="1234"/>
          </w:tcPr>
          <w:p>
            <w:r>
              <w:rPr>
                <w:rFonts w:ascii="Calibri" w:hAnsi="Calibri"/>
                <w:sz w:val="18"/>
              </w:rPr>
              <w:t>Moderate NLP degradation</w:t>
            </w:r>
          </w:p>
        </w:tc>
      </w:tr>
      <w:tr>
        <w:tc>
          <w:tcPr>
            <w:tcW w:type="dxa" w:w="1234"/>
          </w:tcPr>
          <w:p>
            <w:r>
              <w:rPr>
                <w:rFonts w:ascii="Calibri" w:hAnsi="Calibri"/>
                <w:sz w:val="18"/>
              </w:rPr>
              <w:t>5</w:t>
            </w:r>
          </w:p>
        </w:tc>
        <w:tc>
          <w:tcPr>
            <w:tcW w:type="dxa" w:w="1234"/>
          </w:tcPr>
          <w:p>
            <w:r>
              <w:rPr>
                <w:rFonts w:ascii="Calibri" w:hAnsi="Calibri"/>
                <w:sz w:val="18"/>
              </w:rPr>
              <w:t>BAC</w:t>
            </w:r>
          </w:p>
        </w:tc>
        <w:tc>
          <w:tcPr>
            <w:tcW w:type="dxa" w:w="1234"/>
          </w:tcPr>
          <w:p>
            <w:r>
              <w:rPr>
                <w:rFonts w:ascii="Calibri" w:hAnsi="Calibri"/>
                <w:sz w:val="18"/>
              </w:rPr>
              <w:t>Finance</w:t>
            </w:r>
          </w:p>
        </w:tc>
        <w:tc>
          <w:tcPr>
            <w:tcW w:type="dxa" w:w="1234"/>
          </w:tcPr>
          <w:p>
            <w:r>
              <w:rPr>
                <w:rFonts w:ascii="Calibri" w:hAnsi="Calibri"/>
                <w:sz w:val="18"/>
              </w:rPr>
              <w:t>-0.358</w:t>
            </w:r>
          </w:p>
        </w:tc>
        <w:tc>
          <w:tcPr>
            <w:tcW w:type="dxa" w:w="1234"/>
          </w:tcPr>
          <w:p>
            <w:r>
              <w:rPr>
                <w:rFonts w:ascii="Calibri" w:hAnsi="Calibri"/>
                <w:sz w:val="18"/>
              </w:rPr>
              <w:t>+1.7%</w:t>
            </w:r>
          </w:p>
        </w:tc>
        <w:tc>
          <w:tcPr>
            <w:tcW w:type="dxa" w:w="1234"/>
          </w:tcPr>
          <w:p>
            <w:r>
              <w:rPr>
                <w:rFonts w:ascii="Calibri" w:hAnsi="Calibri"/>
                <w:sz w:val="18"/>
              </w:rPr>
              <w:t>1.082</w:t>
            </w:r>
          </w:p>
        </w:tc>
        <w:tc>
          <w:tcPr>
            <w:tcW w:type="dxa" w:w="1234"/>
          </w:tcPr>
          <w:p>
            <w:r>
              <w:rPr>
                <w:rFonts w:ascii="Calibri" w:hAnsi="Calibri"/>
                <w:sz w:val="18"/>
              </w:rPr>
              <w:t>Moderate NLP degradation</w:t>
            </w:r>
          </w:p>
        </w:tc>
      </w:tr>
    </w:tbl>
    <w:p/>
    <w:p>
      <w:pPr>
        <w:spacing w:after="120" w:line="276" w:lineRule="auto"/>
      </w:pPr>
      <w:r>
        <w:rPr>
          <w:rFonts w:ascii="Calibri" w:hAnsi="Calibri"/>
          <w:b w:val="0"/>
          <w:sz w:val="22"/>
        </w:rPr>
        <w:t>Key observations from Layer 1: (1) Five of the eleven negative-delta tickers show Delta-Sharpe = 0.0 exactly (GOOGL, AMZN, BA, NFLX, NEE), indicating the DQN learned identical policies regardless of NLP signal presence. For these stocks, the agent effectively ignores the sentiment channel, suggesting that price-based technical indicators alone contain sufficient information for the learned policy. (2) The standard deviation of Delta-Sharpe across 3 seeds ranges from 0.054 (GOOGL, highly consistent) to 3.031 (AMZN, extremely inconsistent), highlighting a critical caveat: DQN training variance can be larger than the NLP effect size itself. For tickers like AMZN and NKE, any single-seed conclusion would be unreliable. (3) The Finance sector shows a consistent NLP-negative pattern (3 of 5 tickers with Delta-Sharpe &lt; -0.3), suggesting that financial sector news may be efficiently priced into market data, leaving little incremental signal for NLP to capture.</w:t>
      </w:r>
    </w:p>
    <w:p>
      <w:pPr>
        <w:pStyle w:val="Heading2"/>
      </w:pPr>
      <w:r>
        <w:rPr>
          <w:rFonts w:ascii="Calibri" w:hAnsi="Calibri"/>
        </w:rPr>
        <w:t>5.2 Layer 2: DQN+NLP vs. Buy-and-Hold Benchmark</w:t>
      </w:r>
    </w:p>
    <w:p>
      <w:pPr>
        <w:spacing w:after="120" w:line="276" w:lineRule="auto"/>
      </w:pPr>
      <w:r>
        <w:rPr>
          <w:rFonts w:ascii="Calibri" w:hAnsi="Calibri"/>
          <w:b w:val="0"/>
          <w:sz w:val="22"/>
        </w:rPr>
        <w:t>Layer 2 evaluates whether the NLP-enhanced DQN generates positive alpha relative to a passive Buy-and-Hold strategy executed on the same test period. This is a stricter test than Layer 1: even if NLP helps relative to No-NLP DQN, the absolute performance must also beat a simple passive benchmark to justify the system's complexity.</w:t>
      </w:r>
    </w:p>
    <w:p>
      <w:pPr>
        <w:spacing w:after="120" w:line="276" w:lineRule="auto"/>
      </w:pPr>
      <w:r>
        <w:rPr>
          <w:rFonts w:ascii="Calibri" w:hAnsi="Calibri"/>
          <w:b/>
          <w:sz w:val="22"/>
        </w:rPr>
        <w:t>Aggregate Results: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Calibri" w:hAnsi="Calibri"/>
                <w:b/>
                <w:sz w:val="19"/>
              </w:rPr>
              <w:t>Metric</w:t>
            </w:r>
          </w:p>
        </w:tc>
        <w:tc>
          <w:tcPr>
            <w:tcW w:type="dxa" w:w="1728"/>
          </w:tcPr>
          <w:p>
            <w:pPr>
              <w:jc w:val="center"/>
            </w:pPr>
            <w:r>
              <w:rPr>
                <w:rFonts w:ascii="Calibri" w:hAnsi="Calibri"/>
                <w:b/>
                <w:sz w:val="19"/>
              </w:rPr>
              <w:t>DQN Wins</w:t>
            </w:r>
          </w:p>
        </w:tc>
        <w:tc>
          <w:tcPr>
            <w:tcW w:type="dxa" w:w="1728"/>
          </w:tcPr>
          <w:p>
            <w:pPr>
              <w:jc w:val="center"/>
            </w:pPr>
            <w:r>
              <w:rPr>
                <w:rFonts w:ascii="Calibri" w:hAnsi="Calibri"/>
                <w:b/>
                <w:sz w:val="19"/>
              </w:rPr>
              <w:t>Buy-and-Hold Wins</w:t>
            </w:r>
          </w:p>
        </w:tc>
        <w:tc>
          <w:tcPr>
            <w:tcW w:type="dxa" w:w="1728"/>
          </w:tcPr>
          <w:p>
            <w:pPr>
              <w:jc w:val="center"/>
            </w:pPr>
            <w:r>
              <w:rPr>
                <w:rFonts w:ascii="Calibri" w:hAnsi="Calibri"/>
                <w:b/>
                <w:sz w:val="19"/>
              </w:rPr>
              <w:t>DQN Win Rate</w:t>
            </w:r>
          </w:p>
        </w:tc>
        <w:tc>
          <w:tcPr>
            <w:tcW w:type="dxa" w:w="1728"/>
          </w:tcPr>
          <w:p>
            <w:pPr>
              <w:jc w:val="center"/>
            </w:pPr>
            <w:r>
              <w:rPr>
                <w:rFonts w:ascii="Calibri" w:hAnsi="Calibri"/>
                <w:b/>
                <w:sz w:val="19"/>
              </w:rPr>
              <w:t>Assessment</w:t>
            </w:r>
          </w:p>
        </w:tc>
      </w:tr>
      <w:tr>
        <w:tc>
          <w:tcPr>
            <w:tcW w:type="dxa" w:w="1728"/>
          </w:tcPr>
          <w:p>
            <w:r>
              <w:rPr>
                <w:rFonts w:ascii="Calibri" w:hAnsi="Calibri"/>
                <w:sz w:val="18"/>
              </w:rPr>
              <w:t>Sharpe Ratio</w:t>
            </w:r>
          </w:p>
        </w:tc>
        <w:tc>
          <w:tcPr>
            <w:tcW w:type="dxa" w:w="1728"/>
          </w:tcPr>
          <w:p>
            <w:r>
              <w:rPr>
                <w:rFonts w:ascii="Calibri" w:hAnsi="Calibri"/>
                <w:sz w:val="18"/>
              </w:rPr>
              <w:t>14 / 28</w:t>
            </w:r>
          </w:p>
        </w:tc>
        <w:tc>
          <w:tcPr>
            <w:tcW w:type="dxa" w:w="1728"/>
          </w:tcPr>
          <w:p>
            <w:r>
              <w:rPr>
                <w:rFonts w:ascii="Calibri" w:hAnsi="Calibri"/>
                <w:sz w:val="18"/>
              </w:rPr>
              <w:t>14 / 28</w:t>
            </w:r>
          </w:p>
        </w:tc>
        <w:tc>
          <w:tcPr>
            <w:tcW w:type="dxa" w:w="1728"/>
          </w:tcPr>
          <w:p>
            <w:r>
              <w:rPr>
                <w:rFonts w:ascii="Calibri" w:hAnsi="Calibri"/>
                <w:sz w:val="18"/>
              </w:rPr>
              <w:t>50.0%</w:t>
            </w:r>
          </w:p>
        </w:tc>
        <w:tc>
          <w:tcPr>
            <w:tcW w:type="dxa" w:w="1728"/>
          </w:tcPr>
          <w:p>
            <w:r>
              <w:rPr>
                <w:rFonts w:ascii="Calibri" w:hAnsi="Calibri"/>
                <w:sz w:val="18"/>
              </w:rPr>
              <w:t>Statistically indistinguishable from random</w:t>
            </w:r>
          </w:p>
        </w:tc>
      </w:tr>
      <w:tr>
        <w:tc>
          <w:tcPr>
            <w:tcW w:type="dxa" w:w="1728"/>
          </w:tcPr>
          <w:p>
            <w:r>
              <w:rPr>
                <w:rFonts w:ascii="Calibri" w:hAnsi="Calibri"/>
                <w:sz w:val="18"/>
              </w:rPr>
              <w:t>Cumulative Return</w:t>
            </w:r>
          </w:p>
        </w:tc>
        <w:tc>
          <w:tcPr>
            <w:tcW w:type="dxa" w:w="1728"/>
          </w:tcPr>
          <w:p>
            <w:r>
              <w:rPr>
                <w:rFonts w:ascii="Calibri" w:hAnsi="Calibri"/>
                <w:sz w:val="18"/>
              </w:rPr>
              <w:t>10 / 28</w:t>
            </w:r>
          </w:p>
        </w:tc>
        <w:tc>
          <w:tcPr>
            <w:tcW w:type="dxa" w:w="1728"/>
          </w:tcPr>
          <w:p>
            <w:r>
              <w:rPr>
                <w:rFonts w:ascii="Calibri" w:hAnsi="Calibri"/>
                <w:sz w:val="18"/>
              </w:rPr>
              <w:t>18 / 28</w:t>
            </w:r>
          </w:p>
        </w:tc>
        <w:tc>
          <w:tcPr>
            <w:tcW w:type="dxa" w:w="1728"/>
          </w:tcPr>
          <w:p>
            <w:r>
              <w:rPr>
                <w:rFonts w:ascii="Calibri" w:hAnsi="Calibri"/>
                <w:sz w:val="18"/>
              </w:rPr>
              <w:t>35.7%</w:t>
            </w:r>
          </w:p>
        </w:tc>
        <w:tc>
          <w:tcPr>
            <w:tcW w:type="dxa" w:w="1728"/>
          </w:tcPr>
          <w:p>
            <w:r>
              <w:rPr>
                <w:rFonts w:ascii="Calibri" w:hAnsi="Calibri"/>
                <w:sz w:val="18"/>
              </w:rPr>
              <w:t>Buy-and-Hold outperforms on return</w:t>
            </w:r>
          </w:p>
        </w:tc>
      </w:tr>
    </w:tbl>
    <w:p/>
    <w:p>
      <w:pPr>
        <w:spacing w:after="120" w:line="276" w:lineRule="auto"/>
      </w:pPr>
      <w:r>
        <w:rPr>
          <w:rFonts w:ascii="Calibri" w:hAnsi="Calibri"/>
          <w:b/>
          <w:sz w:val="22"/>
        </w:rPr>
        <w:t>Sector-Level Decomposition: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Calibri" w:hAnsi="Calibri"/>
                <w:b/>
                <w:sz w:val="19"/>
              </w:rPr>
              <w:t>Sector</w:t>
            </w:r>
          </w:p>
        </w:tc>
        <w:tc>
          <w:tcPr>
            <w:tcW w:type="dxa" w:w="1234"/>
          </w:tcPr>
          <w:p>
            <w:pPr>
              <w:jc w:val="center"/>
            </w:pPr>
            <w:r>
              <w:rPr>
                <w:rFonts w:ascii="Calibri" w:hAnsi="Calibri"/>
                <w:b/>
                <w:sz w:val="19"/>
              </w:rPr>
              <w:t># Stocks</w:t>
            </w:r>
          </w:p>
        </w:tc>
        <w:tc>
          <w:tcPr>
            <w:tcW w:type="dxa" w:w="1234"/>
          </w:tcPr>
          <w:p>
            <w:pPr>
              <w:jc w:val="center"/>
            </w:pPr>
            <w:r>
              <w:rPr>
                <w:rFonts w:ascii="Calibri" w:hAnsi="Calibri"/>
                <w:b/>
                <w:sz w:val="19"/>
              </w:rPr>
              <w:t>Mean DQN</w:t>
              <w:br/>
              <w:t>Sharpe</w:t>
            </w:r>
          </w:p>
        </w:tc>
        <w:tc>
          <w:tcPr>
            <w:tcW w:type="dxa" w:w="1234"/>
          </w:tcPr>
          <w:p>
            <w:pPr>
              <w:jc w:val="center"/>
            </w:pPr>
            <w:r>
              <w:rPr>
                <w:rFonts w:ascii="Calibri" w:hAnsi="Calibri"/>
                <w:b/>
                <w:sz w:val="19"/>
              </w:rPr>
              <w:t>Mean BH</w:t>
              <w:br/>
              <w:t>Sharpe</w:t>
            </w:r>
          </w:p>
        </w:tc>
        <w:tc>
          <w:tcPr>
            <w:tcW w:type="dxa" w:w="1234"/>
          </w:tcPr>
          <w:p>
            <w:pPr>
              <w:jc w:val="center"/>
            </w:pPr>
            <w:r>
              <w:rPr>
                <w:rFonts w:ascii="Calibri" w:hAnsi="Calibri"/>
                <w:b/>
                <w:sz w:val="19"/>
              </w:rPr>
              <w:t>DQN Wins</w:t>
            </w:r>
          </w:p>
        </w:tc>
        <w:tc>
          <w:tcPr>
            <w:tcW w:type="dxa" w:w="1234"/>
          </w:tcPr>
          <w:p>
            <w:pPr>
              <w:jc w:val="center"/>
            </w:pPr>
            <w:r>
              <w:rPr>
                <w:rFonts w:ascii="Calibri" w:hAnsi="Calibri"/>
                <w:b/>
                <w:sz w:val="19"/>
              </w:rPr>
              <w:t>Win</w:t>
              <w:br/>
              <w:t>Rate</w:t>
            </w:r>
          </w:p>
        </w:tc>
        <w:tc>
          <w:tcPr>
            <w:tcW w:type="dxa" w:w="1234"/>
          </w:tcPr>
          <w:p>
            <w:pPr>
              <w:jc w:val="center"/>
            </w:pPr>
            <w:r>
              <w:rPr>
                <w:rFonts w:ascii="Calibri" w:hAnsi="Calibri"/>
                <w:b/>
                <w:sz w:val="19"/>
              </w:rPr>
              <w:t>DQN Sharpe</w:t>
              <w:br/>
              <w:t>vs. BH</w:t>
            </w:r>
          </w:p>
        </w:tc>
      </w:tr>
      <w:tr>
        <w:tc>
          <w:tcPr>
            <w:tcW w:type="dxa" w:w="1234"/>
          </w:tcPr>
          <w:p>
            <w:r>
              <w:rPr>
                <w:rFonts w:ascii="Calibri" w:hAnsi="Calibri"/>
                <w:sz w:val="18"/>
              </w:rPr>
              <w:t>Technology</w:t>
            </w:r>
          </w:p>
        </w:tc>
        <w:tc>
          <w:tcPr>
            <w:tcW w:type="dxa" w:w="1234"/>
          </w:tcPr>
          <w:p>
            <w:r>
              <w:rPr>
                <w:rFonts w:ascii="Calibri" w:hAnsi="Calibri"/>
                <w:sz w:val="18"/>
              </w:rPr>
              <w:t>7</w:t>
            </w:r>
          </w:p>
        </w:tc>
        <w:tc>
          <w:tcPr>
            <w:tcW w:type="dxa" w:w="1234"/>
          </w:tcPr>
          <w:p>
            <w:r>
              <w:rPr>
                <w:rFonts w:ascii="Calibri" w:hAnsi="Calibri"/>
                <w:sz w:val="18"/>
              </w:rPr>
              <w:t>-0.717</w:t>
            </w:r>
          </w:p>
        </w:tc>
        <w:tc>
          <w:tcPr>
            <w:tcW w:type="dxa" w:w="1234"/>
          </w:tcPr>
          <w:p>
            <w:r>
              <w:rPr>
                <w:rFonts w:ascii="Calibri" w:hAnsi="Calibri"/>
                <w:sz w:val="18"/>
              </w:rPr>
              <w:t>+0.715</w:t>
            </w:r>
          </w:p>
        </w:tc>
        <w:tc>
          <w:tcPr>
            <w:tcW w:type="dxa" w:w="1234"/>
          </w:tcPr>
          <w:p>
            <w:r>
              <w:rPr>
                <w:rFonts w:ascii="Calibri" w:hAnsi="Calibri"/>
                <w:sz w:val="18"/>
              </w:rPr>
              <w:t>3</w:t>
            </w:r>
          </w:p>
        </w:tc>
        <w:tc>
          <w:tcPr>
            <w:tcW w:type="dxa" w:w="1234"/>
          </w:tcPr>
          <w:p>
            <w:r>
              <w:rPr>
                <w:rFonts w:ascii="Calibri" w:hAnsi="Calibri"/>
                <w:sz w:val="18"/>
              </w:rPr>
              <w:t>42.9%</w:t>
            </w:r>
          </w:p>
        </w:tc>
        <w:tc>
          <w:tcPr>
            <w:tcW w:type="dxa" w:w="1234"/>
          </w:tcPr>
          <w:p>
            <w:r>
              <w:rPr>
                <w:rFonts w:ascii="Calibri" w:hAnsi="Calibri"/>
                <w:sz w:val="18"/>
              </w:rPr>
              <w:t>DQN underperforms BH</w:t>
            </w:r>
          </w:p>
        </w:tc>
      </w:tr>
      <w:tr>
        <w:tc>
          <w:tcPr>
            <w:tcW w:type="dxa" w:w="1234"/>
          </w:tcPr>
          <w:p>
            <w:r>
              <w:rPr>
                <w:rFonts w:ascii="Calibri" w:hAnsi="Calibri"/>
                <w:sz w:val="18"/>
              </w:rPr>
              <w:t>Finance</w:t>
            </w:r>
          </w:p>
        </w:tc>
        <w:tc>
          <w:tcPr>
            <w:tcW w:type="dxa" w:w="1234"/>
          </w:tcPr>
          <w:p>
            <w:r>
              <w:rPr>
                <w:rFonts w:ascii="Calibri" w:hAnsi="Calibri"/>
                <w:sz w:val="18"/>
              </w:rPr>
              <w:t>5</w:t>
            </w:r>
          </w:p>
        </w:tc>
        <w:tc>
          <w:tcPr>
            <w:tcW w:type="dxa" w:w="1234"/>
          </w:tcPr>
          <w:p>
            <w:r>
              <w:rPr>
                <w:rFonts w:ascii="Calibri" w:hAnsi="Calibri"/>
                <w:sz w:val="18"/>
              </w:rPr>
              <w:t>-0.194</w:t>
            </w:r>
          </w:p>
        </w:tc>
        <w:tc>
          <w:tcPr>
            <w:tcW w:type="dxa" w:w="1234"/>
          </w:tcPr>
          <w:p>
            <w:r>
              <w:rPr>
                <w:rFonts w:ascii="Calibri" w:hAnsi="Calibri"/>
                <w:sz w:val="18"/>
              </w:rPr>
              <w:t>-0.121</w:t>
            </w:r>
          </w:p>
        </w:tc>
        <w:tc>
          <w:tcPr>
            <w:tcW w:type="dxa" w:w="1234"/>
          </w:tcPr>
          <w:p>
            <w:r>
              <w:rPr>
                <w:rFonts w:ascii="Calibri" w:hAnsi="Calibri"/>
                <w:sz w:val="18"/>
              </w:rPr>
              <w:t>3</w:t>
            </w:r>
          </w:p>
        </w:tc>
        <w:tc>
          <w:tcPr>
            <w:tcW w:type="dxa" w:w="1234"/>
          </w:tcPr>
          <w:p>
            <w:r>
              <w:rPr>
                <w:rFonts w:ascii="Calibri" w:hAnsi="Calibri"/>
                <w:sz w:val="18"/>
              </w:rPr>
              <w:t>60.0%</w:t>
            </w:r>
          </w:p>
        </w:tc>
        <w:tc>
          <w:tcPr>
            <w:tcW w:type="dxa" w:w="1234"/>
          </w:tcPr>
          <w:p>
            <w:r>
              <w:rPr>
                <w:rFonts w:ascii="Calibri" w:hAnsi="Calibri"/>
                <w:sz w:val="18"/>
              </w:rPr>
              <w:t>Both negative; DQN slightly better</w:t>
            </w:r>
          </w:p>
        </w:tc>
      </w:tr>
      <w:tr>
        <w:tc>
          <w:tcPr>
            <w:tcW w:type="dxa" w:w="1234"/>
          </w:tcPr>
          <w:p>
            <w:r>
              <w:rPr>
                <w:rFonts w:ascii="Calibri" w:hAnsi="Calibri"/>
                <w:sz w:val="18"/>
              </w:rPr>
              <w:t>Healthcare</w:t>
            </w:r>
          </w:p>
        </w:tc>
        <w:tc>
          <w:tcPr>
            <w:tcW w:type="dxa" w:w="1234"/>
          </w:tcPr>
          <w:p>
            <w:r>
              <w:rPr>
                <w:rFonts w:ascii="Calibri" w:hAnsi="Calibri"/>
                <w:sz w:val="18"/>
              </w:rPr>
              <w:t>4</w:t>
            </w:r>
          </w:p>
        </w:tc>
        <w:tc>
          <w:tcPr>
            <w:tcW w:type="dxa" w:w="1234"/>
          </w:tcPr>
          <w:p>
            <w:r>
              <w:rPr>
                <w:rFonts w:ascii="Calibri" w:hAnsi="Calibri"/>
                <w:sz w:val="18"/>
              </w:rPr>
              <w:t>+0.599</w:t>
            </w:r>
          </w:p>
        </w:tc>
        <w:tc>
          <w:tcPr>
            <w:tcW w:type="dxa" w:w="1234"/>
          </w:tcPr>
          <w:p>
            <w:r>
              <w:rPr>
                <w:rFonts w:ascii="Calibri" w:hAnsi="Calibri"/>
                <w:sz w:val="18"/>
              </w:rPr>
              <w:t>+1.379</w:t>
            </w:r>
          </w:p>
        </w:tc>
        <w:tc>
          <w:tcPr>
            <w:tcW w:type="dxa" w:w="1234"/>
          </w:tcPr>
          <w:p>
            <w:r>
              <w:rPr>
                <w:rFonts w:ascii="Calibri" w:hAnsi="Calibri"/>
                <w:sz w:val="18"/>
              </w:rPr>
              <w:t>2</w:t>
            </w:r>
          </w:p>
        </w:tc>
        <w:tc>
          <w:tcPr>
            <w:tcW w:type="dxa" w:w="1234"/>
          </w:tcPr>
          <w:p>
            <w:r>
              <w:rPr>
                <w:rFonts w:ascii="Calibri" w:hAnsi="Calibri"/>
                <w:sz w:val="18"/>
              </w:rPr>
              <w:t>50.0%</w:t>
            </w:r>
          </w:p>
        </w:tc>
        <w:tc>
          <w:tcPr>
            <w:tcW w:type="dxa" w:w="1234"/>
          </w:tcPr>
          <w:p>
            <w:r>
              <w:rPr>
                <w:rFonts w:ascii="Calibri" w:hAnsi="Calibri"/>
                <w:sz w:val="18"/>
              </w:rPr>
              <w:t>BH clearly superior</w:t>
            </w:r>
          </w:p>
        </w:tc>
      </w:tr>
      <w:tr>
        <w:tc>
          <w:tcPr>
            <w:tcW w:type="dxa" w:w="1234"/>
          </w:tcPr>
          <w:p>
            <w:r>
              <w:rPr>
                <w:rFonts w:ascii="Calibri" w:hAnsi="Calibri"/>
                <w:sz w:val="18"/>
              </w:rPr>
              <w:t>Consumer</w:t>
            </w:r>
          </w:p>
        </w:tc>
        <w:tc>
          <w:tcPr>
            <w:tcW w:type="dxa" w:w="1234"/>
          </w:tcPr>
          <w:p>
            <w:r>
              <w:rPr>
                <w:rFonts w:ascii="Calibri" w:hAnsi="Calibri"/>
                <w:sz w:val="18"/>
              </w:rPr>
              <w:t>5</w:t>
            </w:r>
          </w:p>
        </w:tc>
        <w:tc>
          <w:tcPr>
            <w:tcW w:type="dxa" w:w="1234"/>
          </w:tcPr>
          <w:p>
            <w:r>
              <w:rPr>
                <w:rFonts w:ascii="Calibri" w:hAnsi="Calibri"/>
                <w:sz w:val="18"/>
              </w:rPr>
              <w:t>-0.344</w:t>
            </w:r>
          </w:p>
        </w:tc>
        <w:tc>
          <w:tcPr>
            <w:tcW w:type="dxa" w:w="1234"/>
          </w:tcPr>
          <w:p>
            <w:r>
              <w:rPr>
                <w:rFonts w:ascii="Calibri" w:hAnsi="Calibri"/>
                <w:sz w:val="18"/>
              </w:rPr>
              <w:t>-0.625</w:t>
            </w:r>
          </w:p>
        </w:tc>
        <w:tc>
          <w:tcPr>
            <w:tcW w:type="dxa" w:w="1234"/>
          </w:tcPr>
          <w:p>
            <w:r>
              <w:rPr>
                <w:rFonts w:ascii="Calibri" w:hAnsi="Calibri"/>
                <w:sz w:val="18"/>
              </w:rPr>
              <w:t>3</w:t>
            </w:r>
          </w:p>
        </w:tc>
        <w:tc>
          <w:tcPr>
            <w:tcW w:type="dxa" w:w="1234"/>
          </w:tcPr>
          <w:p>
            <w:r>
              <w:rPr>
                <w:rFonts w:ascii="Calibri" w:hAnsi="Calibri"/>
                <w:sz w:val="18"/>
              </w:rPr>
              <w:t>60.0%</w:t>
            </w:r>
          </w:p>
        </w:tc>
        <w:tc>
          <w:tcPr>
            <w:tcW w:type="dxa" w:w="1234"/>
          </w:tcPr>
          <w:p>
            <w:r>
              <w:rPr>
                <w:rFonts w:ascii="Calibri" w:hAnsi="Calibri"/>
                <w:sz w:val="18"/>
              </w:rPr>
              <w:t>Both negative; DQN slightly better</w:t>
            </w:r>
          </w:p>
        </w:tc>
      </w:tr>
      <w:tr>
        <w:tc>
          <w:tcPr>
            <w:tcW w:type="dxa" w:w="1234"/>
          </w:tcPr>
          <w:p>
            <w:r>
              <w:rPr>
                <w:rFonts w:ascii="Calibri" w:hAnsi="Calibri"/>
                <w:sz w:val="18"/>
              </w:rPr>
              <w:t>Energy/Industrial</w:t>
            </w:r>
          </w:p>
        </w:tc>
        <w:tc>
          <w:tcPr>
            <w:tcW w:type="dxa" w:w="1234"/>
          </w:tcPr>
          <w:p>
            <w:r>
              <w:rPr>
                <w:rFonts w:ascii="Calibri" w:hAnsi="Calibri"/>
                <w:sz w:val="18"/>
              </w:rPr>
              <w:t>5</w:t>
            </w:r>
          </w:p>
        </w:tc>
        <w:tc>
          <w:tcPr>
            <w:tcW w:type="dxa" w:w="1234"/>
          </w:tcPr>
          <w:p>
            <w:r>
              <w:rPr>
                <w:rFonts w:ascii="Calibri" w:hAnsi="Calibri"/>
                <w:sz w:val="18"/>
              </w:rPr>
              <w:t>+1.279</w:t>
            </w:r>
          </w:p>
        </w:tc>
        <w:tc>
          <w:tcPr>
            <w:tcW w:type="dxa" w:w="1234"/>
          </w:tcPr>
          <w:p>
            <w:r>
              <w:rPr>
                <w:rFonts w:ascii="Calibri" w:hAnsi="Calibri"/>
                <w:sz w:val="18"/>
              </w:rPr>
              <w:t>+1.507</w:t>
            </w:r>
          </w:p>
        </w:tc>
        <w:tc>
          <w:tcPr>
            <w:tcW w:type="dxa" w:w="1234"/>
          </w:tcPr>
          <w:p>
            <w:r>
              <w:rPr>
                <w:rFonts w:ascii="Calibri" w:hAnsi="Calibri"/>
                <w:sz w:val="18"/>
              </w:rPr>
              <w:t>2</w:t>
            </w:r>
          </w:p>
        </w:tc>
        <w:tc>
          <w:tcPr>
            <w:tcW w:type="dxa" w:w="1234"/>
          </w:tcPr>
          <w:p>
            <w:r>
              <w:rPr>
                <w:rFonts w:ascii="Calibri" w:hAnsi="Calibri"/>
                <w:sz w:val="18"/>
              </w:rPr>
              <w:t>40.0%</w:t>
            </w:r>
          </w:p>
        </w:tc>
        <w:tc>
          <w:tcPr>
            <w:tcW w:type="dxa" w:w="1234"/>
          </w:tcPr>
          <w:p>
            <w:r>
              <w:rPr>
                <w:rFonts w:ascii="Calibri" w:hAnsi="Calibri"/>
                <w:sz w:val="18"/>
              </w:rPr>
              <w:t>Both positive; BH slightly better</w:t>
            </w:r>
          </w:p>
        </w:tc>
      </w:tr>
      <w:tr>
        <w:tc>
          <w:tcPr>
            <w:tcW w:type="dxa" w:w="1234"/>
          </w:tcPr>
          <w:p>
            <w:r>
              <w:rPr>
                <w:rFonts w:ascii="Calibri" w:hAnsi="Calibri"/>
                <w:sz w:val="18"/>
              </w:rPr>
              <w:t>Comm/Utility</w:t>
            </w:r>
          </w:p>
        </w:tc>
        <w:tc>
          <w:tcPr>
            <w:tcW w:type="dxa" w:w="1234"/>
          </w:tcPr>
          <w:p>
            <w:r>
              <w:rPr>
                <w:rFonts w:ascii="Calibri" w:hAnsi="Calibri"/>
                <w:sz w:val="18"/>
              </w:rPr>
              <w:t>2</w:t>
            </w:r>
          </w:p>
        </w:tc>
        <w:tc>
          <w:tcPr>
            <w:tcW w:type="dxa" w:w="1234"/>
          </w:tcPr>
          <w:p>
            <w:r>
              <w:rPr>
                <w:rFonts w:ascii="Calibri" w:hAnsi="Calibri"/>
                <w:sz w:val="18"/>
              </w:rPr>
              <w:t>+2.600</w:t>
            </w:r>
          </w:p>
        </w:tc>
        <w:tc>
          <w:tcPr>
            <w:tcW w:type="dxa" w:w="1234"/>
          </w:tcPr>
          <w:p>
            <w:r>
              <w:rPr>
                <w:rFonts w:ascii="Calibri" w:hAnsi="Calibri"/>
                <w:sz w:val="18"/>
              </w:rPr>
              <w:t>+2.237</w:t>
            </w:r>
          </w:p>
        </w:tc>
        <w:tc>
          <w:tcPr>
            <w:tcW w:type="dxa" w:w="1234"/>
          </w:tcPr>
          <w:p>
            <w:r>
              <w:rPr>
                <w:rFonts w:ascii="Calibri" w:hAnsi="Calibri"/>
                <w:sz w:val="18"/>
              </w:rPr>
              <w:t>1</w:t>
            </w:r>
          </w:p>
        </w:tc>
        <w:tc>
          <w:tcPr>
            <w:tcW w:type="dxa" w:w="1234"/>
          </w:tcPr>
          <w:p>
            <w:r>
              <w:rPr>
                <w:rFonts w:ascii="Calibri" w:hAnsi="Calibri"/>
                <w:sz w:val="18"/>
              </w:rPr>
              <w:t>50.0%</w:t>
            </w:r>
          </w:p>
        </w:tc>
        <w:tc>
          <w:tcPr>
            <w:tcW w:type="dxa" w:w="1234"/>
          </w:tcPr>
          <w:p>
            <w:r>
              <w:rPr>
                <w:rFonts w:ascii="Calibri" w:hAnsi="Calibri"/>
                <w:sz w:val="18"/>
              </w:rPr>
              <w:t>Both strongly positive</w:t>
            </w:r>
          </w:p>
        </w:tc>
      </w:tr>
    </w:tbl>
    <w:p/>
    <w:p>
      <w:pPr>
        <w:spacing w:after="120" w:line="276" w:lineRule="auto"/>
      </w:pPr>
      <w:r>
        <w:rPr>
          <w:rFonts w:ascii="Calibri" w:hAnsi="Calibri"/>
          <w:b w:val="0"/>
          <w:sz w:val="22"/>
        </w:rPr>
        <w:t>Notable individual outcomes: DIS achieved the best DQN Sharpe of 3.975 (vs. BH 2.371), making it the strongest case for NLP-RL integration. Conversely, GOOGL suffered a DQN Sharpe of -4.846 (vs. BH +1.792), representing catastrophic model failure likely due to overfitting or exploration collapse on that specific ticker. AMZN and NKE also showed severely negative DQN Sharpe ratios. These outlier failures pull down sector averages substantially: excluding the three worst DQN performers would raise the aggregate DQN Sharpe win rate meaningfully.</w:t>
      </w:r>
    </w:p>
    <w:p>
      <w:pPr>
        <w:spacing w:after="120" w:line="276" w:lineRule="auto"/>
      </w:pPr>
      <w:r>
        <w:rPr>
          <w:rFonts w:ascii="Calibri" w:hAnsi="Calibri"/>
          <w:b w:val="0"/>
          <w:sz w:val="22"/>
        </w:rPr>
        <w:t>Sector-level analysis reveals that DQN+NLP performs best in sectors where Buy-and-Hold also performs well (Comm/Utility, Energy/Industrial), suggesting the DQN benefits from strong underlying trends. In the Technology sector, BH Sharpe is positive (+0.715) while mean DQN Sharpe is negative (-0.717), indicating the DQN actively destroys value on average for tech stocks - likely due to the high volatility and noise in tech stock price movements confounding the agent's learned policy.</w:t>
      </w:r>
    </w:p>
    <w:p>
      <w:pPr>
        <w:pStyle w:val="Heading2"/>
      </w:pPr>
      <w:r>
        <w:rPr>
          <w:rFonts w:ascii="Calibri" w:hAnsi="Calibri"/>
        </w:rPr>
        <w:t>5.3 Layer 3: Paper Trading Forward Validation</w:t>
      </w:r>
    </w:p>
    <w:p>
      <w:pPr>
        <w:spacing w:after="120" w:line="276" w:lineRule="auto"/>
      </w:pPr>
      <w:r>
        <w:rPr>
          <w:rFonts w:ascii="Calibri" w:hAnsi="Calibri"/>
          <w:b w:val="0"/>
          <w:sz w:val="22"/>
        </w:rPr>
        <w:t>The third validation layer simulates live trading by deploying trained DQN agents on the most recent unseen data (walk-forward test split). Each agent generates a single trading signal (BUY/SELL/HOLD) for its corresponding ticker based on the latest available state. The PaperTrader executes these signals with 0.1% transaction costs and 25% position sizing, tracking portfolio equity, individual positions, and trade history.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Calibri" w:hAnsi="Calibri"/>
                <w:b/>
                <w:sz w:val="19"/>
              </w:rPr>
              <w:t>Metric</w:t>
            </w:r>
          </w:p>
        </w:tc>
        <w:tc>
          <w:tcPr>
            <w:tcW w:type="dxa" w:w="2880"/>
          </w:tcPr>
          <w:p>
            <w:pPr>
              <w:jc w:val="center"/>
            </w:pPr>
            <w:r>
              <w:rPr>
                <w:rFonts w:ascii="Calibri" w:hAnsi="Calibri"/>
                <w:b/>
                <w:sz w:val="19"/>
              </w:rPr>
              <w:t>Value</w:t>
            </w:r>
          </w:p>
        </w:tc>
        <w:tc>
          <w:tcPr>
            <w:tcW w:type="dxa" w:w="2880"/>
          </w:tcPr>
          <w:p>
            <w:pPr>
              <w:jc w:val="center"/>
            </w:pPr>
            <w:r>
              <w:rPr>
                <w:rFonts w:ascii="Calibri" w:hAnsi="Calibri"/>
                <w:b/>
                <w:sz w:val="19"/>
              </w:rPr>
              <w:t>Notes</w:t>
            </w:r>
          </w:p>
        </w:tc>
      </w:tr>
      <w:tr>
        <w:tc>
          <w:tcPr>
            <w:tcW w:type="dxa" w:w="2880"/>
          </w:tcPr>
          <w:p>
            <w:r>
              <w:rPr>
                <w:rFonts w:ascii="Calibri" w:hAnsi="Calibri"/>
                <w:sz w:val="18"/>
              </w:rPr>
              <w:t>Total Signals Generated</w:t>
            </w:r>
          </w:p>
        </w:tc>
        <w:tc>
          <w:tcPr>
            <w:tcW w:type="dxa" w:w="2880"/>
          </w:tcPr>
          <w:p>
            <w:r>
              <w:rPr>
                <w:rFonts w:ascii="Calibri" w:hAnsi="Calibri"/>
                <w:sz w:val="18"/>
              </w:rPr>
              <w:t>28</w:t>
            </w:r>
          </w:p>
        </w:tc>
        <w:tc>
          <w:tcPr>
            <w:tcW w:type="dxa" w:w="2880"/>
          </w:tcPr>
          <w:p>
            <w:r>
              <w:rPr>
                <w:rFonts w:ascii="Calibri" w:hAnsi="Calibri"/>
                <w:sz w:val="18"/>
              </w:rPr>
              <w:t>One per ticker in the universe</w:t>
            </w:r>
          </w:p>
        </w:tc>
      </w:tr>
      <w:tr>
        <w:tc>
          <w:tcPr>
            <w:tcW w:type="dxa" w:w="2880"/>
          </w:tcPr>
          <w:p>
            <w:r>
              <w:rPr>
                <w:rFonts w:ascii="Calibri" w:hAnsi="Calibri"/>
                <w:sz w:val="18"/>
              </w:rPr>
              <w:t>BUY Signals</w:t>
            </w:r>
          </w:p>
        </w:tc>
        <w:tc>
          <w:tcPr>
            <w:tcW w:type="dxa" w:w="2880"/>
          </w:tcPr>
          <w:p>
            <w:r>
              <w:rPr>
                <w:rFonts w:ascii="Calibri" w:hAnsi="Calibri"/>
                <w:sz w:val="18"/>
              </w:rPr>
              <w:t>21 (75.0%)</w:t>
            </w:r>
          </w:p>
        </w:tc>
        <w:tc>
          <w:tcPr>
            <w:tcW w:type="dxa" w:w="2880"/>
          </w:tcPr>
          <w:p>
            <w:r>
              <w:rPr>
                <w:rFonts w:ascii="Calibri" w:hAnsi="Calibri"/>
                <w:sz w:val="18"/>
              </w:rPr>
              <w:t>Indicates model directional optimism</w:t>
            </w:r>
          </w:p>
        </w:tc>
      </w:tr>
      <w:tr>
        <w:tc>
          <w:tcPr>
            <w:tcW w:type="dxa" w:w="2880"/>
          </w:tcPr>
          <w:p>
            <w:r>
              <w:rPr>
                <w:rFonts w:ascii="Calibri" w:hAnsi="Calibri"/>
                <w:sz w:val="18"/>
              </w:rPr>
              <w:t>SELL Signals</w:t>
            </w:r>
          </w:p>
        </w:tc>
        <w:tc>
          <w:tcPr>
            <w:tcW w:type="dxa" w:w="2880"/>
          </w:tcPr>
          <w:p>
            <w:r>
              <w:rPr>
                <w:rFonts w:ascii="Calibri" w:hAnsi="Calibri"/>
                <w:sz w:val="18"/>
              </w:rPr>
              <w:t>7 (25.0%)</w:t>
            </w:r>
          </w:p>
        </w:tc>
        <w:tc>
          <w:tcPr>
            <w:tcW w:type="dxa" w:w="2880"/>
          </w:tcPr>
          <w:p>
            <w:r>
              <w:rPr>
                <w:rFonts w:ascii="Calibri" w:hAnsi="Calibri"/>
                <w:sz w:val="18"/>
              </w:rPr>
              <w:t>GOOGL, AMZN, NVDA, ABBV, CAT, DIS, NEE</w:t>
            </w:r>
          </w:p>
        </w:tc>
      </w:tr>
      <w:tr>
        <w:tc>
          <w:tcPr>
            <w:tcW w:type="dxa" w:w="2880"/>
          </w:tcPr>
          <w:p>
            <w:r>
              <w:rPr>
                <w:rFonts w:ascii="Calibri" w:hAnsi="Calibri"/>
                <w:sz w:val="18"/>
              </w:rPr>
              <w:t>HOLD Signals</w:t>
            </w:r>
          </w:p>
        </w:tc>
        <w:tc>
          <w:tcPr>
            <w:tcW w:type="dxa" w:w="2880"/>
          </w:tcPr>
          <w:p>
            <w:r>
              <w:rPr>
                <w:rFonts w:ascii="Calibri" w:hAnsi="Calibri"/>
                <w:sz w:val="18"/>
              </w:rPr>
              <w:t>0 (0.0%)</w:t>
            </w:r>
          </w:p>
        </w:tc>
        <w:tc>
          <w:tcPr>
            <w:tcW w:type="dxa" w:w="2880"/>
          </w:tcPr>
          <w:p>
            <w:r>
              <w:rPr>
                <w:rFonts w:ascii="Calibri" w:hAnsi="Calibri"/>
                <w:sz w:val="18"/>
              </w:rPr>
              <w:t>Model avoids neutral stance in zero-rate environment</w:t>
            </w:r>
          </w:p>
        </w:tc>
      </w:tr>
      <w:tr>
        <w:tc>
          <w:tcPr>
            <w:tcW w:type="dxa" w:w="2880"/>
          </w:tcPr>
          <w:p>
            <w:r>
              <w:rPr>
                <w:rFonts w:ascii="Calibri" w:hAnsi="Calibri"/>
                <w:sz w:val="18"/>
              </w:rPr>
              <w:t>Trades Executed</w:t>
            </w:r>
          </w:p>
        </w:tc>
        <w:tc>
          <w:tcPr>
            <w:tcW w:type="dxa" w:w="2880"/>
          </w:tcPr>
          <w:p>
            <w:r>
              <w:rPr>
                <w:rFonts w:ascii="Calibri" w:hAnsi="Calibri"/>
                <w:sz w:val="18"/>
              </w:rPr>
              <w:t>19</w:t>
            </w:r>
          </w:p>
        </w:tc>
        <w:tc>
          <w:tcPr>
            <w:tcW w:type="dxa" w:w="2880"/>
          </w:tcPr>
          <w:p>
            <w:r>
              <w:rPr>
                <w:rFonts w:ascii="Calibri" w:hAnsi="Calibri"/>
                <w:sz w:val="18"/>
              </w:rPr>
              <w:t>9 fresh positions from cash; 7 SELL via no existing position</w:t>
            </w:r>
          </w:p>
        </w:tc>
      </w:tr>
      <w:tr>
        <w:tc>
          <w:tcPr>
            <w:tcW w:type="dxa" w:w="2880"/>
          </w:tcPr>
          <w:p>
            <w:r>
              <w:rPr>
                <w:rFonts w:ascii="Calibri" w:hAnsi="Calibri"/>
                <w:sz w:val="18"/>
              </w:rPr>
              <w:t>Initial Capital</w:t>
            </w:r>
          </w:p>
        </w:tc>
        <w:tc>
          <w:tcPr>
            <w:tcW w:type="dxa" w:w="2880"/>
          </w:tcPr>
          <w:p>
            <w:r>
              <w:rPr>
                <w:rFonts w:ascii="Calibri" w:hAnsi="Calibri"/>
                <w:sz w:val="18"/>
              </w:rPr>
              <w:t>$100,000.00</w:t>
            </w:r>
          </w:p>
        </w:tc>
        <w:tc>
          <w:tcPr>
            <w:tcW w:type="dxa" w:w="2880"/>
          </w:tcPr>
          <w:p>
            <w:r>
              <w:rPr>
                <w:rFonts w:ascii="Calibri" w:hAnsi="Calibri"/>
                <w:sz w:val="18"/>
              </w:rPr>
              <w:t>Config.INITIAL_CAPITAL</w:t>
            </w:r>
          </w:p>
        </w:tc>
      </w:tr>
      <w:tr>
        <w:tc>
          <w:tcPr>
            <w:tcW w:type="dxa" w:w="2880"/>
          </w:tcPr>
          <w:p>
            <w:r>
              <w:rPr>
                <w:rFonts w:ascii="Calibri" w:hAnsi="Calibri"/>
                <w:sz w:val="18"/>
              </w:rPr>
              <w:t>Final Portfolio Value</w:t>
            </w:r>
          </w:p>
        </w:tc>
        <w:tc>
          <w:tcPr>
            <w:tcW w:type="dxa" w:w="2880"/>
          </w:tcPr>
          <w:p>
            <w:r>
              <w:rPr>
                <w:rFonts w:ascii="Calibri" w:hAnsi="Calibri"/>
                <w:sz w:val="18"/>
              </w:rPr>
              <w:t>$99,900.84</w:t>
            </w:r>
          </w:p>
        </w:tc>
        <w:tc>
          <w:tcPr>
            <w:tcW w:type="dxa" w:w="2880"/>
          </w:tcPr>
          <w:p>
            <w:r>
              <w:rPr>
                <w:rFonts w:ascii="Calibri" w:hAnsi="Calibri"/>
                <w:sz w:val="18"/>
              </w:rPr>
              <w:t>After all trades and transaction costs</w:t>
            </w:r>
          </w:p>
        </w:tc>
      </w:tr>
      <w:tr>
        <w:tc>
          <w:tcPr>
            <w:tcW w:type="dxa" w:w="2880"/>
          </w:tcPr>
          <w:p>
            <w:r>
              <w:rPr>
                <w:rFonts w:ascii="Calibri" w:hAnsi="Calibri"/>
                <w:sz w:val="18"/>
              </w:rPr>
              <w:t>Total P&amp;L</w:t>
            </w:r>
          </w:p>
        </w:tc>
        <w:tc>
          <w:tcPr>
            <w:tcW w:type="dxa" w:w="2880"/>
          </w:tcPr>
          <w:p>
            <w:r>
              <w:rPr>
                <w:rFonts w:ascii="Calibri" w:hAnsi="Calibri"/>
                <w:sz w:val="18"/>
              </w:rPr>
              <w:t>-$99.16 (-0.10%)</w:t>
            </w:r>
          </w:p>
        </w:tc>
        <w:tc>
          <w:tcPr>
            <w:tcW w:type="dxa" w:w="2880"/>
          </w:tcPr>
          <w:p>
            <w:r>
              <w:rPr>
                <w:rFonts w:ascii="Calibri" w:hAnsi="Calibri"/>
                <w:sz w:val="18"/>
              </w:rPr>
              <w:t>Almost entirely attributable to 0.1% trading commissions</w:t>
            </w:r>
          </w:p>
        </w:tc>
      </w:tr>
      <w:tr>
        <w:tc>
          <w:tcPr>
            <w:tcW w:type="dxa" w:w="2880"/>
          </w:tcPr>
          <w:p>
            <w:r>
              <w:rPr>
                <w:rFonts w:ascii="Calibri" w:hAnsi="Calibri"/>
                <w:sz w:val="18"/>
              </w:rPr>
              <w:t>Execution Errors</w:t>
            </w:r>
          </w:p>
        </w:tc>
        <w:tc>
          <w:tcPr>
            <w:tcW w:type="dxa" w:w="2880"/>
          </w:tcPr>
          <w:p>
            <w:r>
              <w:rPr>
                <w:rFonts w:ascii="Calibri" w:hAnsi="Calibri"/>
                <w:sz w:val="18"/>
              </w:rPr>
              <w:t>0</w:t>
            </w:r>
          </w:p>
        </w:tc>
        <w:tc>
          <w:tcPr>
            <w:tcW w:type="dxa" w:w="2880"/>
          </w:tcPr>
          <w:p>
            <w:r>
              <w:rPr>
                <w:rFonts w:ascii="Calibri" w:hAnsi="Calibri"/>
                <w:sz w:val="18"/>
              </w:rPr>
              <w:t>All signals executed successfully</w:t>
            </w:r>
          </w:p>
        </w:tc>
      </w:tr>
    </w:tbl>
    <w:p/>
    <w:p>
      <w:pPr>
        <w:spacing w:after="120" w:line="276" w:lineRule="auto"/>
      </w:pPr>
      <w:r>
        <w:rPr>
          <w:rFonts w:ascii="Calibri" w:hAnsi="Calibri"/>
          <w:b w:val="0"/>
          <w:sz w:val="22"/>
        </w:rPr>
        <w:t>The breakeven paper trading result (-0.10%) is approximately equal to the cumulative transaction cost (19 trades x ~0.1% per trade x average position value). This indicates the DQN policy, net of trading costs, neither creates nor destroys value on the test set - it is effectively a zero-alpha strategy. The 21 BUY vs. 7 SELL asymmetry reflects the model's learned bias toward being invested, consistent with the upward drift in equity markets during the 2024 test period.</w:t>
      </w:r>
    </w:p>
    <w:p>
      <w:r>
        <w:br w:type="page"/>
      </w:r>
    </w:p>
    <w:p>
      <w:pPr>
        <w:pStyle w:val="Heading1"/>
      </w:pPr>
      <w:r>
        <w:rPr>
          <w:rFonts w:ascii="Calibri" w:hAnsi="Calibri"/>
        </w:rPr>
        <w:t>6. Critical Discussion &amp; Reflection</w:t>
      </w:r>
    </w:p>
    <w:p>
      <w:pPr>
        <w:pStyle w:val="Heading2"/>
      </w:pPr>
      <w:r>
        <w:rPr>
          <w:rFonts w:ascii="Calibri" w:hAnsi="Calibri"/>
        </w:rPr>
        <w:t>6.1 Per-Module Critical Analysis</w:t>
      </w:r>
    </w:p>
    <w:p>
      <w:pPr>
        <w:spacing w:after="120" w:line="276" w:lineRule="auto"/>
      </w:pPr>
      <w:r>
        <w:rPr>
          <w:rFonts w:ascii="Calibri" w:hAnsi="Calibri"/>
          <w:b/>
          <w:sz w:val="22"/>
        </w:rPr>
        <w:t>Module 1 - Data Ingestion:</w:t>
      </w:r>
    </w:p>
    <w:p>
      <w:pPr>
        <w:spacing w:after="120" w:line="276" w:lineRule="auto"/>
      </w:pPr>
      <w:r>
        <w:rPr>
          <w:rFonts w:ascii="Calibri" w:hAnsi="Calibri"/>
          <w:b w:val="0"/>
          <w:sz w:val="22"/>
        </w:rPr>
        <w:t>The multi-layered fallback strategy proved essential in practice and represents one of the most robust design decisions in the platform. During the final experimental run, yfinance was globally rate-limited (HTTP 403) for all 28 tickers, and Alpha Vantage exhausted its free-tier quota (25 requests/day) before completing the universe. Yahoo Direct's undocumented API endpoint successfully served all 28 tickers with complete historical data, validating the importance of source diversity. However, the reliance on unofficial/undocumented APIs (Yahoo Direct) introduces fragility - these endpoints may change or be deprecated without notice. A production system would require contracted data feeds (e.g., Bloomberg, Refinitiv, Polygon.io) with guaranteed uptime and data quality SLAs.</w:t>
      </w:r>
    </w:p>
    <w:p>
      <w:pPr>
        <w:spacing w:after="120" w:line="276" w:lineRule="auto"/>
      </w:pPr>
      <w:r>
        <w:rPr>
          <w:rFonts w:ascii="Calibri" w:hAnsi="Calibri"/>
          <w:b/>
          <w:sz w:val="22"/>
        </w:rPr>
        <w:t>Module 2 - NLP Pipeline:</w:t>
      </w:r>
    </w:p>
    <w:p>
      <w:pPr>
        <w:spacing w:after="120" w:line="276" w:lineRule="auto"/>
      </w:pPr>
      <w:r>
        <w:rPr>
          <w:rFonts w:ascii="Calibri" w:hAnsi="Calibri"/>
          <w:b w:val="0"/>
          <w:sz w:val="22"/>
        </w:rPr>
        <w:t>The three-method ensemble design reveals meaningful patterns in sentiment signal quality. FinBERT consistently provides the most nuanced and contextually appropriate scores, VADER exhibits a neutrality bias on financial text (its training data was primarily social media), and Logistic Regression provides a lightweight alternative with acceptable agreement rates against FinBERT. The NLP-positive rate of 42.9% in the ablation study is notably lower than the preliminary template-news run (46.2%), confirming the hypothesis that real-world news introduces noise that partially attenuates NLP signal quality. A limitation of the current NLP pipeline is the assumption that sentiment is uniformly informative across all news types - in reality, macroeconomic news, sector-level reports, and company-specific announcements have different predictive horizons and should ideally be modeled with different decay rates.</w:t>
      </w:r>
    </w:p>
    <w:p>
      <w:pPr>
        <w:spacing w:after="120" w:line="276" w:lineRule="auto"/>
      </w:pPr>
      <w:r>
        <w:rPr>
          <w:rFonts w:ascii="Calibri" w:hAnsi="Calibri"/>
          <w:b/>
          <w:sz w:val="22"/>
        </w:rPr>
        <w:t>Module 3 - Data Storage:</w:t>
      </w:r>
    </w:p>
    <w:p>
      <w:pPr>
        <w:spacing w:after="120" w:line="276" w:lineRule="auto"/>
      </w:pPr>
      <w:r>
        <w:rPr>
          <w:rFonts w:ascii="Calibri" w:hAnsi="Calibri"/>
          <w:b w:val="0"/>
          <w:sz w:val="22"/>
        </w:rPr>
        <w:t>SQLite with WAL mode has performed without issues throughout development and the full experimental run. The schema design with UNIQUE constraints on natural keys (url, ticker+date, ticker+date+method) elegantly handles idempotent re-ingestion. However, SQLite's single-writer limitation would become a bottleneck in a production system with concurrent data ingestion, NLP processing, and RL training processes. The ChromaDB vector store integration adds valuable semantic search capability but the current SHA-256-based text hashing (first 16 hex characters) introduces a minor collision risk for large document collections.</w:t>
      </w:r>
    </w:p>
    <w:p>
      <w:pPr>
        <w:spacing w:after="120" w:line="276" w:lineRule="auto"/>
      </w:pPr>
      <w:r>
        <w:rPr>
          <w:rFonts w:ascii="Calibri" w:hAnsi="Calibri"/>
          <w:b/>
          <w:sz w:val="22"/>
        </w:rPr>
        <w:t>Module 4 - RL Engine:</w:t>
      </w:r>
    </w:p>
    <w:p>
      <w:pPr>
        <w:spacing w:after="120" w:line="276" w:lineRule="auto"/>
      </w:pPr>
      <w:r>
        <w:rPr>
          <w:rFonts w:ascii="Calibri" w:hAnsi="Calibri"/>
          <w:b w:val="0"/>
          <w:sz w:val="22"/>
        </w:rPr>
        <w:t>The DQN implementation meets all minimum technical requirements specified in the project guidelines. The multi-seed experimental design reveals a critical finding that single-seed DQN evaluation - common in academic RL-for-trading papers - can be misleading: standard deviations of Sharpe Ratio across 3 seeds range from 0.054 to 3.031, with several tickers showing variance larger than the NLP effect size itself. This finding has implications beyond this project: it suggests that RL-for-trading research should report multi-seed statistics as standard practice. The 50% Sharpe win rate against Buy-and-Hold is consistent with the semi-strong form of the Efficient Market Hypothesis: for large-cap, highly liquid S&amp;P stocks, publicly available information (including news sentiment) is rapidly incorporated into prices, leaving limited alpha opportunities for a simple DQN agent.</w:t>
      </w:r>
    </w:p>
    <w:p>
      <w:pPr>
        <w:spacing w:after="120" w:line="276" w:lineRule="auto"/>
      </w:pPr>
      <w:r>
        <w:rPr>
          <w:rFonts w:ascii="Calibri" w:hAnsi="Calibri"/>
          <w:b/>
          <w:sz w:val="22"/>
        </w:rPr>
        <w:t>Module 5 - Dashboard:</w:t>
      </w:r>
    </w:p>
    <w:p>
      <w:pPr>
        <w:spacing w:after="120" w:line="276" w:lineRule="auto"/>
      </w:pPr>
      <w:r>
        <w:rPr>
          <w:rFonts w:ascii="Calibri" w:hAnsi="Calibri"/>
          <w:b w:val="0"/>
          <w:sz w:val="22"/>
        </w:rPr>
        <w:t>The Streamlit dashboard successfully provides comprehensive visualization coverage of all pipeline stages. The RAG-powered AI assistant, while functional, is limited by the quality of the underlying ChromaDB embeddings (all-MiniLM-L6-v2 is a general-purpose model, not finance-specific) and the contextual window of the Volcano Engine LLM. Future iterations would benefit from a finance-domain embedding model and a more sophisticated RAG pipeline with re-ranking and query expansion.</w:t>
      </w:r>
    </w:p>
    <w:p>
      <w:pPr>
        <w:pStyle w:val="Heading2"/>
      </w:pPr>
      <w:r>
        <w:rPr>
          <w:rFonts w:ascii="Calibri" w:hAnsi="Calibri"/>
        </w:rPr>
        <w:t>6.2 Limitations and Future Work</w:t>
      </w:r>
    </w:p>
    <w:p>
      <w:pPr>
        <w:spacing w:after="120" w:line="276" w:lineRule="auto"/>
      </w:pPr>
      <w:r>
        <w:rPr>
          <w:rFonts w:ascii="Calibri" w:hAnsi="Calibri"/>
          <w:b/>
          <w:sz w:val="22"/>
        </w:rPr>
        <w:t>DQN Training Instability:</w:t>
      </w:r>
    </w:p>
    <w:p>
      <w:pPr>
        <w:spacing w:after="120" w:line="276" w:lineRule="auto"/>
      </w:pPr>
      <w:r>
        <w:rPr>
          <w:rFonts w:ascii="Calibri" w:hAnsi="Calibri"/>
          <w:b w:val="0"/>
          <w:sz w:val="22"/>
        </w:rPr>
        <w:t>The high seed-to-seed variance (sigma_Delta-Sharpe up to 3.031 for AMZN) is the most significant methodological limitation. With only 3 seeds, our confidence intervals on Delta-Sharpe are wide. Future work should employ 10+ seeds per condition, or switch to more stable algorithms (PPO, SAC) that exhibit lower variance. Alternatively, ensemble methods that average predictions across multiple independently trained agents could reduce variance at deployment time.</w:t>
      </w:r>
    </w:p>
    <w:p>
      <w:pPr>
        <w:spacing w:after="120" w:line="276" w:lineRule="auto"/>
      </w:pPr>
      <w:r>
        <w:rPr>
          <w:rFonts w:ascii="Calibri" w:hAnsi="Calibri"/>
          <w:b/>
          <w:sz w:val="22"/>
        </w:rPr>
        <w:t>News Sparsity and Signal Quality:</w:t>
      </w:r>
    </w:p>
    <w:p>
      <w:pPr>
        <w:spacing w:after="120" w:line="276" w:lineRule="auto"/>
      </w:pPr>
      <w:r>
        <w:rPr>
          <w:rFonts w:ascii="Calibri" w:hAnsi="Calibri"/>
          <w:b w:val="0"/>
          <w:sz w:val="22"/>
        </w:rPr>
        <w:t>Many tickers in the universe have news coverage on only 5-20% of trading days (low news density). On non-news days, sentiment features are carried forward via EMA smoothing, which effectively converts the sentiment signal into a decaying persistence indicator rather than a genuine daily information source. Expanding the text corpus to include earnings call transcripts, SEC 8-K filings, analyst reports, and social media (Twitter/Reddit) could substantially increase both coverage density and signal diversity.</w:t>
      </w:r>
    </w:p>
    <w:p>
      <w:pPr>
        <w:spacing w:after="120" w:line="276" w:lineRule="auto"/>
      </w:pPr>
      <w:r>
        <w:rPr>
          <w:rFonts w:ascii="Calibri" w:hAnsi="Calibri"/>
          <w:b/>
          <w:sz w:val="22"/>
        </w:rPr>
        <w:t>State Representation:</w:t>
      </w:r>
    </w:p>
    <w:p>
      <w:pPr>
        <w:spacing w:after="120" w:line="276" w:lineRule="auto"/>
      </w:pPr>
      <w:r>
        <w:rPr>
          <w:rFonts w:ascii="Calibri" w:hAnsi="Calibri"/>
          <w:b w:val="0"/>
          <w:sz w:val="22"/>
        </w:rPr>
        <w:t>The 11-dimensional state vector allocates 7 dimensions to price-derived technical indicators and 4 dimensions to sentiment features (36% of the representation). This may overweight sentiment relative to its actual predictive contribution, potentially biasing the agent toward NLP-dependent policies. Future experiments should explore alternative dimensionalities and the inclusion of additional features: sector-relative strength, volatility (ATR, historical volatility), volume-based indicators (OBV, volume profile), and macroeconomic covariates (interest rates, VIX).</w:t>
      </w:r>
    </w:p>
    <w:p>
      <w:pPr>
        <w:spacing w:after="120" w:line="276" w:lineRule="auto"/>
      </w:pPr>
      <w:r>
        <w:rPr>
          <w:rFonts w:ascii="Calibri" w:hAnsi="Calibri"/>
          <w:b/>
          <w:sz w:val="22"/>
        </w:rPr>
        <w:t>Reward Function Engineering:</w:t>
      </w:r>
    </w:p>
    <w:p>
      <w:pPr>
        <w:spacing w:after="120" w:line="276" w:lineRule="auto"/>
      </w:pPr>
      <w:r>
        <w:rPr>
          <w:rFonts w:ascii="Calibri" w:hAnsi="Calibri"/>
          <w:b w:val="0"/>
          <w:sz w:val="22"/>
        </w:rPr>
        <w:t>The composite reward function contains five manually tuned components with coefficients chosen based on domain intuition rather than systematic optimization. The cash penalty (0.0001), concentration penalty (0.0005), trade frequency penalty (0.0001), and sentiment alignment bonus (0.0002) interact in potentially complex ways. A more principled approach would use multi-objective RL or direct policy optimization on risk-adjusted metrics (Sharpe Ratio, Sortino Ratio, Calmar Ratio) rather than a heuristic linear combination.</w:t>
      </w:r>
    </w:p>
    <w:p>
      <w:pPr>
        <w:spacing w:after="120" w:line="276" w:lineRule="auto"/>
      </w:pPr>
      <w:r>
        <w:rPr>
          <w:rFonts w:ascii="Calibri" w:hAnsi="Calibri"/>
          <w:b/>
          <w:sz w:val="22"/>
        </w:rPr>
        <w:t>Benchmark Limitations:</w:t>
      </w:r>
    </w:p>
    <w:p>
      <w:pPr>
        <w:spacing w:after="120" w:line="276" w:lineRule="auto"/>
      </w:pPr>
      <w:r>
        <w:rPr>
          <w:rFonts w:ascii="Calibri" w:hAnsi="Calibri"/>
          <w:b w:val="0"/>
          <w:sz w:val="22"/>
        </w:rPr>
        <w:t>Buy-and-Hold is the weakest reasonable benchmark. For a more rigorous evaluation, future work should compare against: (1) Equal-weight portfolio rebalanced monthly, (2) Momentum and mean-reversion strategies, (3) a random-action agent (to verify the DQN learns non-trivial policies), and (4) a simple RL baseline such as a single-layer Q-network or a linear Q-function approximator.</w:t>
      </w:r>
    </w:p>
    <w:p>
      <w:pPr>
        <w:spacing w:after="120" w:line="276" w:lineRule="auto"/>
      </w:pPr>
      <w:r>
        <w:rPr>
          <w:rFonts w:ascii="Calibri" w:hAnsi="Calibri"/>
          <w:b/>
          <w:sz w:val="22"/>
        </w:rPr>
        <w:t>Transaction Cost Realism:</w:t>
      </w:r>
    </w:p>
    <w:p>
      <w:pPr>
        <w:spacing w:after="120" w:line="276" w:lineRule="auto"/>
      </w:pPr>
      <w:r>
        <w:rPr>
          <w:rFonts w:ascii="Calibri" w:hAnsi="Calibri"/>
          <w:b w:val="0"/>
          <w:sz w:val="22"/>
        </w:rPr>
        <w:t>The 0.1% transaction cost assumption is optimistic for retail trading and does not account for bid-ask spread (typically 0.01-0.10% for large-cap US stocks), market impact (meaningful for position sizes above ~1% of daily volume), or slippage during high-volatility periods. Incorporating a more realistic cost model - perhaps with spread-based costs that vary by ticker liquidity - would provide a more accurate assessment of net-of-cost strategy performance.</w:t>
      </w:r>
    </w:p>
    <w:p>
      <w:r>
        <w:br w:type="page"/>
      </w:r>
    </w:p>
    <w:p>
      <w:pPr>
        <w:pStyle w:val="Heading1"/>
      </w:pPr>
      <w:r>
        <w:rPr>
          <w:rFonts w:ascii="Calibri" w:hAnsi="Calibri"/>
        </w:rPr>
        <w:t>7. Conclusion</w:t>
      </w:r>
    </w:p>
    <w:p>
      <w:pPr>
        <w:spacing w:after="120" w:line="276" w:lineRule="auto"/>
      </w:pPr>
      <w:r>
        <w:rPr>
          <w:rFonts w:ascii="Calibri" w:hAnsi="Calibri"/>
          <w:b w:val="0"/>
          <w:sz w:val="22"/>
        </w:rPr>
        <w:t>This project successfully delivers a fully integrated, end-to-end NLP-RL trading platform that satisfies all five module requirements and the core integration requirement (sentiment signal embedded in the RL state vector). The platform demonstrates the complete pipeline from raw financial news text to NLP-derived sentiment signals to RL-based trading decisions, with results visualized through an interactive Streamlit dashboard.</w:t>
      </w:r>
    </w:p>
    <w:p>
      <w:pPr>
        <w:spacing w:after="120" w:line="276" w:lineRule="auto"/>
      </w:pPr>
      <w:r>
        <w:rPr>
          <w:rFonts w:ascii="Calibri" w:hAnsi="Calibri"/>
          <w:b w:val="0"/>
          <w:sz w:val="22"/>
        </w:rPr>
        <w:t>The systematic ablation study across 28 stocks with multi-seed DQN training provides nuanced evidence regarding the central research question. NLP signals improve risk-adjusted returns (Sharpe Ratio) for 42.9% of stocks, with effect sizes ranging from modest (Delta-Sharpe ~ +0.1) to substantial (Delta-Sharpe ~ +2.0). However, for 39.3% of stocks, NLP signals degrade performance, and the aggregate DQN agent does not reliably outperform a passive Buy-and-Hold benchmark (50% Sharpe win rate).</w:t>
      </w:r>
    </w:p>
    <w:p>
      <w:pPr>
        <w:spacing w:after="120" w:line="276" w:lineRule="auto"/>
      </w:pPr>
      <w:r>
        <w:rPr>
          <w:rFonts w:ascii="Calibri" w:hAnsi="Calibri"/>
          <w:b w:val="0"/>
          <w:sz w:val="22"/>
        </w:rPr>
        <w:t>The key insight is context dependence: NLP signals add value primarily on stocks where news sentiment carries information orthogonal to price trends - stocks with rich media ecosystems (DIS, META), regulatory sensitivity (ABBV in healthcare), or consumer sentiment exposure (PEP, WMT). On highly efficient, arbitrage-free large-cap stocks (NVDA, major financials), where news is instantaneously priced in, NLP signals contribute noise rather than signal. This finding has direct practical implications: deploying NLP-RL trading systems with uniform sentiment integration across all stocks is suboptimal. A selective approach - activating NLP signals only for stocks with demonstrated sentiment-price decoupling - would likely yield superior aggregate performance.</w:t>
      </w:r>
    </w:p>
    <w:p>
      <w:pPr>
        <w:spacing w:after="120" w:line="276" w:lineRule="auto"/>
      </w:pPr>
      <w:r>
        <w:rPr>
          <w:rFonts w:ascii="Calibri" w:hAnsi="Calibri"/>
          <w:b w:val="0"/>
          <w:sz w:val="22"/>
        </w:rPr>
        <w:t>The platform's modular architecture, rigorous walk-forward validation protocol, multi-seed experimental design, and three-layer validation framework provide a solid foundation for continued research. The limitations identified - DQN training instability, news sparsity, simplified transaction costs, and heuristic reward engineering - define clear directions for future work. As NLP models continue to improve and RL algorithms become more stable, the NLP-RL integration paradigm explored in this project represents a promising direction for quantitative finance research and practice.</w:t>
      </w:r>
    </w:p>
    <w:p>
      <w:r>
        <w:br w:type="page"/>
      </w:r>
    </w:p>
    <w:p>
      <w:pPr>
        <w:pStyle w:val="Heading1"/>
      </w:pPr>
      <w:r>
        <w:rPr>
          <w:rFonts w:ascii="Calibri" w:hAnsi="Calibri"/>
        </w:rPr>
        <w:t>8. References</w:t>
      </w:r>
    </w:p>
    <w:p>
      <w:pPr>
        <w:spacing w:after="120" w:line="276" w:lineRule="auto"/>
      </w:pPr>
      <w:r>
        <w:rPr>
          <w:rFonts w:ascii="Calibri" w:hAnsi="Calibri"/>
          <w:b w:val="0"/>
          <w:sz w:val="19"/>
        </w:rPr>
        <w:t>[1] Mnih, V., Kavukcuoglu, K., Silver, D., et al. (2015). Human-level control through deep reinforcement learning. Nature, 518(7540), 529-533.</w:t>
      </w:r>
    </w:p>
    <w:p>
      <w:pPr>
        <w:spacing w:after="120" w:line="276" w:lineRule="auto"/>
      </w:pPr>
      <w:r>
        <w:rPr>
          <w:rFonts w:ascii="Calibri" w:hAnsi="Calibri"/>
          <w:b w:val="0"/>
          <w:sz w:val="19"/>
        </w:rPr>
        <w:t>[2] van Hasselt, H., Guez, A., &amp; Silver, D. (2016). Deep Reinforcement Learning with Double Q-learning. Proceedings of the AAAI Conference on Artificial Intelligence, 30(1).</w:t>
      </w:r>
    </w:p>
    <w:p>
      <w:pPr>
        <w:spacing w:after="120" w:line="276" w:lineRule="auto"/>
      </w:pPr>
      <w:r>
        <w:rPr>
          <w:rFonts w:ascii="Calibri" w:hAnsi="Calibri"/>
          <w:b w:val="0"/>
          <w:sz w:val="19"/>
        </w:rPr>
        <w:t>[3] Araci, D. (2019). FinBERT: Financial Sentiment Analysis with Pre-trained Language Models. arXiv preprint arXiv:1908.10063.</w:t>
      </w:r>
    </w:p>
    <w:p>
      <w:pPr>
        <w:spacing w:after="120" w:line="276" w:lineRule="auto"/>
      </w:pPr>
      <w:r>
        <w:rPr>
          <w:rFonts w:ascii="Calibri" w:hAnsi="Calibri"/>
          <w:b w:val="0"/>
          <w:sz w:val="19"/>
        </w:rPr>
        <w:t>[4] Huang, A. H., Wang, H., &amp; Yang, Y. (2023). FinBERT: A Large Language Model for Extracting Information from Financial Text. Contemporary Accounting Research, 40(2), 806-841.</w:t>
      </w:r>
    </w:p>
    <w:p>
      <w:pPr>
        <w:spacing w:after="120" w:line="276" w:lineRule="auto"/>
      </w:pPr>
      <w:r>
        <w:rPr>
          <w:rFonts w:ascii="Calibri" w:hAnsi="Calibri"/>
          <w:b w:val="0"/>
          <w:sz w:val="19"/>
        </w:rPr>
        <w:t>[5] Hutto, C. J., &amp; Gilbert, E. E. (2014). VADER: A Parsimonious Rule-based Model for Sentiment Analysis of Social Media Text. Proceedings of ICWSM 2014.</w:t>
      </w:r>
    </w:p>
    <w:p>
      <w:pPr>
        <w:spacing w:after="120" w:line="276" w:lineRule="auto"/>
      </w:pPr>
      <w:r>
        <w:rPr>
          <w:rFonts w:ascii="Calibri" w:hAnsi="Calibri"/>
          <w:b w:val="0"/>
          <w:sz w:val="19"/>
        </w:rPr>
        <w:t>[6] Pedregosa, F., Varoquaux, G., Gramfort, A., et al. (2011). Scikit-learn: Machine Learning in Python. Journal of Machine Learning Research, 12, 2825-2830.</w:t>
      </w:r>
    </w:p>
    <w:p>
      <w:pPr>
        <w:spacing w:after="120" w:line="276" w:lineRule="auto"/>
      </w:pPr>
      <w:r>
        <w:rPr>
          <w:rFonts w:ascii="Calibri" w:hAnsi="Calibri"/>
          <w:b w:val="0"/>
          <w:sz w:val="19"/>
        </w:rPr>
        <w:t>[7] Fleiss, J. L. (1971). Measuring nominal scale agreement among many raters. Psychological Bulletin, 76(5), 378-382.</w:t>
      </w:r>
    </w:p>
    <w:p>
      <w:pPr>
        <w:spacing w:after="120" w:line="276" w:lineRule="auto"/>
      </w:pPr>
      <w:r>
        <w:rPr>
          <w:rFonts w:ascii="Calibri" w:hAnsi="Calibri"/>
          <w:b w:val="0"/>
          <w:sz w:val="19"/>
        </w:rPr>
        <w:t>[8] Lundberg, S. M., &amp; Lee, S. I. (2017). A Unified Approach to Interpreting Model Predictions. Advances in Neural Information Processing Systems 30.</w:t>
      </w:r>
    </w:p>
    <w:p>
      <w:pPr>
        <w:spacing w:after="120" w:line="276" w:lineRule="auto"/>
      </w:pPr>
      <w:r>
        <w:rPr>
          <w:rFonts w:ascii="Calibri" w:hAnsi="Calibri"/>
          <w:b w:val="0"/>
          <w:sz w:val="19"/>
        </w:rPr>
        <w:t>[9] Sharpe, W. F. (1966). Mutual Fund Performance. The Journal of Business, 39(S1), 119-138.</w:t>
      </w:r>
    </w:p>
    <w:p>
      <w:pPr>
        <w:spacing w:after="120" w:line="276" w:lineRule="auto"/>
      </w:pPr>
      <w:r>
        <w:rPr>
          <w:rFonts w:ascii="Calibri" w:hAnsi="Calibri"/>
          <w:b w:val="0"/>
          <w:sz w:val="19"/>
        </w:rPr>
        <w:t>[10] Brockman, G., Cheung, V., Pettersson, L., et al. (2016). OpenAI Gym. arXiv preprint arXiv:1606.01540.</w:t>
      </w:r>
    </w:p>
    <w:p>
      <w:pPr>
        <w:spacing w:after="120" w:line="276" w:lineRule="auto"/>
      </w:pPr>
      <w:r>
        <w:rPr>
          <w:rFonts w:ascii="Calibri" w:hAnsi="Calibri"/>
          <w:b w:val="0"/>
          <w:sz w:val="19"/>
        </w:rPr>
        <w:t>[11] Malkiel, B. G., &amp; Fama, E. F. (1970). Efficient Capital Markets: A Review of Theory and Empirical Work. The Journal of Finance, 25(2), 383-417.</w:t>
      </w:r>
    </w:p>
    <w:p>
      <w:pPr>
        <w:spacing w:after="120" w:line="276" w:lineRule="auto"/>
      </w:pPr>
      <w:r>
        <w:rPr>
          <w:rFonts w:ascii="Calibri" w:hAnsi="Calibri"/>
          <w:b w:val="0"/>
          <w:sz w:val="19"/>
        </w:rPr>
        <w:t>[12] Sutskever, I., Vinyals, O., &amp; Le, Q. V. (2014). Sequence to Sequence Learning with Neural Networks. Advances in Neural Information Processing Systems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