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jc w:val="center"/>
        <w:spacing w:after="160"/>
      </w:pPr>
      <w:r>
        <w:rPr>
          <w:rFonts w:ascii="Arial" w:hAnsi="Arial" w:cs="Arial"/>
          <w:sz w:val="24"/>
          <w:sz-cs w:val="24"/>
          <w:b/>
          <w:color w:val="000000"/>
        </w:rPr>
        <w:t xml:space="preserve">Project Check-in 1: Park Check, a Grounded Trip Planner for California National Parks</w:t>
      </w:r>
    </w:p>
    <w:p>
      <w:pPr>
        <w:jc w:val="center"/>
        <w:spacing w:after="160"/>
      </w:pPr>
      <w:r>
        <w:rPr>
          <w:rFonts w:ascii="Arial" w:hAnsi="Arial" w:cs="Arial"/>
          <w:sz w:val="24"/>
          <w:sz-cs w:val="24"/>
          <w:b/>
          <w:color w:val="000000"/>
        </w:rPr>
        <w:t xml:space="preserve">Shervan Shahparnia, CMPE 259, San Jose State University</w:t>
      </w:r>
    </w:p>
    <w:p>
      <w:pPr>
        <w:spacing w:before="240" w:after="120"/>
      </w:pPr>
      <w:r>
        <w:rPr>
          <w:rFonts w:ascii="Arial" w:hAnsi="Arial" w:cs="Arial"/>
          <w:sz w:val="24"/>
          <w:sz-cs w:val="24"/>
          <w:b/>
          <w:color w:val="000000"/>
        </w:rPr>
        <w:t xml:space="preserve">Project Activities Completed</w:t>
      </w:r>
    </w:p>
    <w:p>
      <w:pPr>
        <w:ind w:left="720"/>
        <w:spacing w:after="80"/>
      </w:pPr>
      <w:r>
        <w:rPr>
          <w:rFonts w:ascii="Arial" w:hAnsi="Arial" w:cs="Arial"/>
          <w:sz w:val="24"/>
          <w:sz-cs w:val="24"/>
          <w:b/>
          <w:color w:val="000000"/>
        </w:rPr>
        <w:t xml:space="preserve"/>
        <w:tab/>
        <w:t xml:space="preserve">•</w:t>
        <w:tab/>
        <w:t xml:space="preserve">Collected 34 sources on RAG, tool use, hallucination and prompt injection (references.md).</w:t>
      </w:r>
    </w:p>
    <w:p>
      <w:pPr>
        <w:ind w:left="720"/>
        <w:spacing w:after="80"/>
      </w:pPr>
      <w:r>
        <w:rPr>
          <w:rFonts w:ascii="Arial" w:hAnsi="Arial" w:cs="Arial"/>
          <w:sz w:val="24"/>
          <w:sz-cs w:val="24"/>
          <w:b/>
          <w:color w:val="000000"/>
        </w:rPr>
        <w:t xml:space="preserve"/>
        <w:tab/>
        <w:t xml:space="preserve">•</w:t>
        <w:tab/>
        <w:t xml:space="preserve">Built a cached NPS Data API client and five tools (park info, alerts, activities, campgrounds, fees), with park codes limited to the 12 supported parks.</w:t>
      </w:r>
    </w:p>
    <w:p>
      <w:pPr>
        <w:ind w:left="720"/>
        <w:spacing w:after="80"/>
      </w:pPr>
      <w:r>
        <w:rPr>
          <w:rFonts w:ascii="Arial" w:hAnsi="Arial" w:cs="Arial"/>
          <w:sz w:val="24"/>
          <w:sz-cs w:val="24"/>
          <w:b/>
          <w:color w:val="000000"/>
        </w:rPr>
        <w:t xml:space="preserve"/>
        <w:tab/>
        <w:t xml:space="preserve">•</w:t>
        <w:tab/>
        <w:t xml:space="preserve">Built a tool calling loop and three configs: A (gpt-5.6-terra with tools), B (same model, no tools) and C (gpt-5.6-luna with tools).</w:t>
      </w:r>
    </w:p>
    <w:p>
      <w:pPr>
        <w:ind w:left="720"/>
        <w:spacing w:after="80"/>
      </w:pPr>
      <w:r>
        <w:rPr>
          <w:rFonts w:ascii="Arial" w:hAnsi="Arial" w:cs="Arial"/>
          <w:sz w:val="24"/>
          <w:sz-cs w:val="24"/>
          <w:b/>
          <w:color w:val="000000"/>
        </w:rPr>
        <w:t xml:space="preserve"/>
        <w:tab/>
        <w:t xml:space="preserve">•</w:t>
        <w:tab/>
        <w:t xml:space="preserve">Wrote 24 test queries and ran the first live test. It found a bug where the models rejected tools unless reasoning effort was "none", which I fixed for all configs.</w:t>
      </w:r>
    </w:p>
    <w:p>
      <w:pPr>
        <w:ind w:left="720"/>
        <w:spacing w:after="80"/>
      </w:pPr>
      <w:r>
        <w:rPr>
          <w:rFonts w:ascii="Arial" w:hAnsi="Arial" w:cs="Arial"/>
          <w:sz w:val="24"/>
          <w:sz-cs w:val="24"/>
          <w:b/>
          <w:color w:val="000000"/>
        </w:rPr>
        <w:t xml:space="preserve"/>
        <w:tab/>
        <w:t xml:space="preserve">•</w:t>
        <w:tab/>
        <w:t xml:space="preserve">Ran all 72 query and config pairs on one saved API snapshot (0 errors, $0.32). Park recall was 0.93 for A and 1.00 for C, and C was about 7 times cheaper than A. Without tools, B guessed from memory, for example saying Tioga Road is "typically closed by mid-October".</w:t>
      </w:r>
    </w:p>
    <w:p>
      <w:pPr>
        <w:spacing w:before="240" w:after="120"/>
      </w:pPr>
      <w:r>
        <w:rPr>
          <w:rFonts w:ascii="Arial" w:hAnsi="Arial" w:cs="Arial"/>
          <w:sz w:val="24"/>
          <w:sz-cs w:val="24"/>
          <w:b/>
          <w:color w:val="000000"/>
        </w:rPr>
        <w:t xml:space="preserve">Project Activities in Progress</w:t>
      </w:r>
    </w:p>
    <w:p>
      <w:pPr>
        <w:spacing w:after="160"/>
      </w:pPr>
      <w:r>
        <w:rPr>
          <w:rFonts w:ascii="Arial" w:hAnsi="Arial" w:cs="Arial"/>
          <w:sz w:val="24"/>
          <w:sz-cs w:val="24"/>
          <w:b/>
          <w:color w:val="000000"/>
        </w:rPr>
        <w:t xml:space="preserve">Claim level scoring: an LLM judge splits each answer into claims and checks each one against the API snapshot, so I can measure accuracy and not just tool use.</w:t>
      </w:r>
    </w:p>
    <w:p>
      <w:pPr>
        <w:spacing w:before="240" w:after="120"/>
      </w:pPr>
      <w:r>
        <w:rPr>
          <w:rFonts w:ascii="Arial" w:hAnsi="Arial" w:cs="Arial"/>
          <w:sz w:val="24"/>
          <w:sz-cs w:val="24"/>
          <w:b/>
          <w:color w:val="000000"/>
        </w:rPr>
        <w:t xml:space="preserve">Project Activities Planned</w:t>
      </w:r>
    </w:p>
    <w:p>
      <w:pPr>
        <w:spacing w:after="160"/>
      </w:pPr>
      <w:r>
        <w:rPr>
          <w:rFonts w:ascii="Arial" w:hAnsi="Arial" w:cs="Arial"/>
          <w:sz w:val="24"/>
          <w:sz-cs w:val="24"/>
          <w:b/>
          <w:color w:val="000000"/>
        </w:rPr>
        <w:t xml:space="preserve">Six safety tests, a Streamlit demo app, peer testing with two classmates, and the README, slides and demo video.</w:t>
      </w:r>
    </w:p>
    <w:p>
      <w:pPr>
        <w:spacing w:before="240" w:after="120"/>
      </w:pPr>
      <w:r>
        <w:rPr>
          <w:rFonts w:ascii="Arial" w:hAnsi="Arial" w:cs="Arial"/>
          <w:sz w:val="24"/>
          <w:sz-cs w:val="24"/>
          <w:b/>
          <w:color w:val="000000"/>
        </w:rPr>
        <w:t xml:space="preserve">GitHub/Google Drive links</w:t>
      </w:r>
    </w:p>
    <w:p>
      <w:pPr>
        <w:spacing w:after="160"/>
      </w:pPr>
      <w:r>
        <w:rPr>
          <w:rFonts w:ascii="Arial" w:hAnsi="Arial" w:cs="Arial"/>
          <w:sz w:val="24"/>
          <w:sz-cs w:val="24"/>
          <w:b/>
          <w:color w:val="000000"/>
        </w:rPr>
        <w:t xml:space="preserve">https://github.com/SShahparnia/cmpe259_project</w:t>
      </w:r>
    </w:p>
    <w:p>
      <w:pPr>
        <w:spacing w:before="240" w:after="120"/>
      </w:pPr>
      <w:r>
        <w:rPr>
          <w:rFonts w:ascii="Arial" w:hAnsi="Arial" w:cs="Arial"/>
          <w:sz w:val="24"/>
          <w:sz-cs w:val="24"/>
          <w:b/>
          <w:color w:val="000000"/>
        </w:rPr>
        <w:t xml:space="preserve">AI Disclosure</w:t>
      </w:r>
    </w:p>
    <w:p>
      <w:pPr>
        <w:spacing w:after="160"/>
      </w:pPr>
      <w:r>
        <w:rPr>
          <w:rFonts w:ascii="Arial" w:hAnsi="Arial" w:cs="Arial"/>
          <w:sz w:val="24"/>
          <w:sz-cs w:val="24"/>
          <w:b/>
          <w:color w:val="000000"/>
        </w:rPr>
        <w:t xml:space="preserve">I used Claude Code to help write boilerplate code and debug API issues (which I ran into many of). I ran the evaluation reported here myself and checked/interpreted the results.</w:t>
      </w:r>
    </w:p>
    <w:p>
      <w:pPr>
        <w:spacing w:before="240" w:after="120"/>
      </w:pPr>
      <w:r>
        <w:rPr>
          <w:rFonts w:ascii="Arial" w:hAnsi="Arial" w:cs="Arial"/>
          <w:sz w:val="24"/>
          <w:sz-cs w:val="24"/>
          <w:b/>
          <w:color w:val="000000"/>
        </w:rPr>
        <w:t xml:space="preserve">References</w:t>
      </w:r>
    </w:p>
    <w:p>
      <w:pPr>
        <w:ind w:left="720"/>
        <w:spacing w:after="60"/>
      </w:pPr>
      <w:r>
        <w:rPr>
          <w:rFonts w:ascii="Arial" w:hAnsi="Arial" w:cs="Arial"/>
          <w:sz w:val="24"/>
          <w:sz-cs w:val="24"/>
          <w:b/>
          <w:color w:val="000000"/>
        </w:rPr>
        <w:t xml:space="preserve"/>
        <w:tab/>
        <w:t xml:space="preserve">•</w:t>
        <w:tab/>
        <w:t xml:space="preserve">Lewis et al. (2020). Retrieval-Augmented Generation for Knowledge-Intensive NLP Tasks. https://arxiv.org/abs/2005.11401</w:t>
      </w:r>
    </w:p>
    <w:p>
      <w:pPr>
        <w:ind w:left="720"/>
        <w:spacing w:after="60"/>
      </w:pPr>
      <w:r>
        <w:rPr>
          <w:rFonts w:ascii="Arial" w:hAnsi="Arial" w:cs="Arial"/>
          <w:sz w:val="24"/>
          <w:sz-cs w:val="24"/>
          <w:b/>
          <w:color w:val="000000"/>
        </w:rPr>
        <w:t xml:space="preserve"/>
        <w:tab/>
        <w:t xml:space="preserve">•</w:t>
        <w:tab/>
        <w:t xml:space="preserve">Gao et al. (2023). Retrieval-Augmented Generation for Large Language Models: A Survey. https://arxiv.org/abs/2312.10997</w:t>
      </w:r>
    </w:p>
    <w:p>
      <w:pPr>
        <w:ind w:left="720"/>
        <w:spacing w:after="60"/>
      </w:pPr>
      <w:r>
        <w:rPr>
          <w:rFonts w:ascii="Arial" w:hAnsi="Arial" w:cs="Arial"/>
          <w:sz w:val="24"/>
          <w:sz-cs w:val="24"/>
          <w:b/>
          <w:color w:val="000000"/>
        </w:rPr>
        <w:t xml:space="preserve"/>
        <w:tab/>
        <w:t xml:space="preserve">•</w:t>
        <w:tab/>
        <w:t xml:space="preserve">Mallen et al. (2023). When Not to Trust Language Models: Investigating Effectiveness of Parametric and Non-Parametric Memories. https://arxiv.org/abs/2212.10511</w:t>
      </w:r>
    </w:p>
    <w:p>
      <w:pPr>
        <w:ind w:left="720"/>
        <w:spacing w:after="60"/>
      </w:pPr>
      <w:r>
        <w:rPr>
          <w:rFonts w:ascii="Arial" w:hAnsi="Arial" w:cs="Arial"/>
          <w:sz w:val="24"/>
          <w:sz-cs w:val="24"/>
          <w:b/>
          <w:color w:val="000000"/>
        </w:rPr>
        <w:t xml:space="preserve"/>
        <w:tab/>
        <w:t xml:space="preserve">•</w:t>
        <w:tab/>
        <w:t xml:space="preserve">Vu et al. (2024). FreshLLMs: Refreshing Large Language Models with Search Engine Augmentation. https://arxiv.org/abs/2310.03214</w:t>
      </w:r>
    </w:p>
    <w:p>
      <w:pPr>
        <w:ind w:left="720"/>
        <w:spacing w:after="60"/>
      </w:pPr>
      <w:r>
        <w:rPr>
          <w:rFonts w:ascii="Arial" w:hAnsi="Arial" w:cs="Arial"/>
          <w:sz w:val="24"/>
          <w:sz-cs w:val="24"/>
          <w:b/>
          <w:color w:val="000000"/>
        </w:rPr>
        <w:t xml:space="preserve"/>
        <w:tab/>
        <w:t xml:space="preserve">•</w:t>
        <w:tab/>
        <w:t xml:space="preserve">Kasai et al. (2023). RealTime QA: What's the Answer Right Now? https://arxiv.org/abs/2207.13332</w:t>
      </w:r>
    </w:p>
    <w:p>
      <w:pPr>
        <w:ind w:left="720"/>
        <w:spacing w:after="60"/>
      </w:pPr>
      <w:r>
        <w:rPr>
          <w:rFonts w:ascii="Arial" w:hAnsi="Arial" w:cs="Arial"/>
          <w:sz w:val="24"/>
          <w:sz-cs w:val="24"/>
          <w:b/>
          <w:color w:val="000000"/>
        </w:rPr>
        <w:t xml:space="preserve"/>
        <w:tab/>
        <w:t xml:space="preserve">•</w:t>
        <w:tab/>
        <w:t xml:space="preserve">Liu et al. (2024). Lost in the Middle: How Language Models Use Long Contexts. https://arxiv.org/abs/2307.03172</w:t>
      </w:r>
    </w:p>
    <w:p>
      <w:pPr>
        <w:ind w:left="720"/>
        <w:spacing w:after="60"/>
      </w:pPr>
      <w:r>
        <w:rPr>
          <w:rFonts w:ascii="Arial" w:hAnsi="Arial" w:cs="Arial"/>
          <w:sz w:val="24"/>
          <w:sz-cs w:val="24"/>
          <w:b/>
          <w:color w:val="000000"/>
        </w:rPr>
        <w:t xml:space="preserve"/>
        <w:tab/>
        <w:t xml:space="preserve">•</w:t>
        <w:tab/>
        <w:t xml:space="preserve">Schick et al. (2023). Toolformer: Language Models Can Teach Themselves to Use Tools. https://arxiv.org/abs/2302.04761</w:t>
      </w:r>
    </w:p>
    <w:p>
      <w:pPr>
        <w:ind w:left="720"/>
        <w:spacing w:after="60"/>
      </w:pPr>
      <w:r>
        <w:rPr>
          <w:rFonts w:ascii="Arial" w:hAnsi="Arial" w:cs="Arial"/>
          <w:sz w:val="24"/>
          <w:sz-cs w:val="24"/>
          <w:b/>
          <w:color w:val="000000"/>
        </w:rPr>
        <w:t xml:space="preserve"/>
        <w:tab/>
        <w:t xml:space="preserve">•</w:t>
        <w:tab/>
        <w:t xml:space="preserve">Yao et al. (2023). ReAct: Synergizing Reasoning and Acting in Language Models. https://arxiv.org/abs/2210.03629</w:t>
      </w:r>
    </w:p>
    <w:p>
      <w:pPr>
        <w:ind w:left="720"/>
        <w:spacing w:after="60"/>
      </w:pPr>
      <w:r>
        <w:rPr>
          <w:rFonts w:ascii="Arial" w:hAnsi="Arial" w:cs="Arial"/>
          <w:sz w:val="24"/>
          <w:sz-cs w:val="24"/>
          <w:b/>
          <w:color w:val="000000"/>
        </w:rPr>
        <w:t xml:space="preserve"/>
        <w:tab/>
        <w:t xml:space="preserve">•</w:t>
        <w:tab/>
        <w:t xml:space="preserve">Patil et al. (2023). Gorilla: Large Language Model Connected with Massive APIs. https://arxiv.org/abs/2305.15334</w:t>
      </w:r>
    </w:p>
    <w:p>
      <w:pPr>
        <w:ind w:left="720"/>
        <w:spacing w:after="60"/>
      </w:pPr>
      <w:r>
        <w:rPr>
          <w:rFonts w:ascii="Arial" w:hAnsi="Arial" w:cs="Arial"/>
          <w:sz w:val="24"/>
          <w:sz-cs w:val="24"/>
          <w:b/>
          <w:color w:val="000000"/>
        </w:rPr>
        <w:t xml:space="preserve"/>
        <w:tab/>
        <w:t xml:space="preserve">•</w:t>
        <w:tab/>
        <w:t xml:space="preserve">Li et al. (2023). API-Bank: A Comprehensive Benchmark for Tool-Augmented LLMs. https://arxiv.org/abs/2304.08244</w:t>
      </w:r>
    </w:p>
    <w:p>
      <w:pPr>
        <w:ind w:left="720"/>
        <w:spacing w:after="60"/>
      </w:pPr>
      <w:r>
        <w:rPr>
          <w:rFonts w:ascii="Arial" w:hAnsi="Arial" w:cs="Arial"/>
          <w:sz w:val="24"/>
          <w:sz-cs w:val="24"/>
          <w:b/>
          <w:color w:val="000000"/>
        </w:rPr>
        <w:t xml:space="preserve"/>
        <w:tab/>
        <w:t xml:space="preserve">•</w:t>
        <w:tab/>
        <w:t xml:space="preserve">Qin et al. (2024). ToolLLM: Facilitating Large Language Models to Master 16000+ Real-world APIs. https://arxiv.org/abs/2307.16789</w:t>
      </w:r>
    </w:p>
    <w:p>
      <w:pPr>
        <w:ind w:left="720"/>
        <w:spacing w:after="60"/>
      </w:pPr>
      <w:r>
        <w:rPr>
          <w:rFonts w:ascii="Arial" w:hAnsi="Arial" w:cs="Arial"/>
          <w:sz w:val="24"/>
          <w:sz-cs w:val="24"/>
          <w:b/>
          <w:color w:val="000000"/>
        </w:rPr>
        <w:t xml:space="preserve"/>
        <w:tab/>
        <w:t xml:space="preserve">•</w:t>
        <w:tab/>
        <w:t xml:space="preserve">Xie et al. (2024). TravelPlanner: A Benchmark for Real-World Planning with Language Agents. https://arxiv.org/abs/2402.01622</w:t>
      </w:r>
    </w:p>
    <w:p>
      <w:pPr>
        <w:ind w:left="720"/>
        <w:spacing w:after="60"/>
      </w:pPr>
      <w:r>
        <w:rPr>
          <w:rFonts w:ascii="Arial" w:hAnsi="Arial" w:cs="Arial"/>
          <w:sz w:val="24"/>
          <w:sz-cs w:val="24"/>
          <w:b/>
          <w:color w:val="000000"/>
        </w:rPr>
        <w:t xml:space="preserve"/>
        <w:tab/>
        <w:t xml:space="preserve">•</w:t>
        <w:tab/>
        <w:t xml:space="preserve">Wei et al. (2024). QCG-Rerank: Chunks Graph Rerank with Query Expansion in Retrieval-Augmented LLMs for Tourism Domain. https://arxiv.org/abs/2411.08724</w:t>
      </w:r>
    </w:p>
    <w:p>
      <w:pPr>
        <w:ind w:left="720"/>
        <w:spacing w:after="60"/>
      </w:pPr>
      <w:r>
        <w:rPr>
          <w:rFonts w:ascii="Arial" w:hAnsi="Arial" w:cs="Arial"/>
          <w:sz w:val="24"/>
          <w:sz-cs w:val="24"/>
          <w:b/>
          <w:color w:val="000000"/>
        </w:rPr>
        <w:t xml:space="preserve"/>
        <w:tab/>
        <w:t xml:space="preserve">•</w:t>
        <w:tab/>
        <w:t xml:space="preserve">Ji et al. (2023). Survey of Hallucination in Natural Language Generation. https://arxiv.org/abs/2202.03629</w:t>
      </w:r>
    </w:p>
    <w:p>
      <w:pPr>
        <w:ind w:left="720"/>
        <w:spacing w:after="60"/>
      </w:pPr>
      <w:r>
        <w:rPr>
          <w:rFonts w:ascii="Arial" w:hAnsi="Arial" w:cs="Arial"/>
          <w:sz w:val="24"/>
          <w:sz-cs w:val="24"/>
          <w:b/>
          <w:color w:val="000000"/>
        </w:rPr>
        <w:t xml:space="preserve"/>
        <w:tab/>
        <w:t xml:space="preserve">•</w:t>
        <w:tab/>
        <w:t xml:space="preserve">Huang et al. (2023). A Survey on Hallucination in Large Language Models: Principles, Taxonomy, Challenges, and Open Questions. https://arxiv.org/abs/2311.05232</w:t>
      </w:r>
    </w:p>
    <w:p>
      <w:pPr>
        <w:ind w:left="720"/>
        <w:spacing w:after="60"/>
      </w:pPr>
      <w:r>
        <w:rPr>
          <w:rFonts w:ascii="Arial" w:hAnsi="Arial" w:cs="Arial"/>
          <w:sz w:val="24"/>
          <w:sz-cs w:val="24"/>
          <w:b/>
          <w:color w:val="000000"/>
        </w:rPr>
        <w:t xml:space="preserve"/>
        <w:tab/>
        <w:t xml:space="preserve">•</w:t>
        <w:tab/>
        <w:t xml:space="preserve">Min et al. (2023). FActScore: Fine-grained Atomic Evaluation of Factual Precision in Long Form Text Generation. https://arxiv.org/abs/2305.14251</w:t>
      </w:r>
    </w:p>
    <w:p>
      <w:pPr>
        <w:ind w:left="720"/>
        <w:spacing w:after="60"/>
      </w:pPr>
      <w:r>
        <w:rPr>
          <w:rFonts w:ascii="Arial" w:hAnsi="Arial" w:cs="Arial"/>
          <w:sz w:val="24"/>
          <w:sz-cs w:val="24"/>
          <w:b/>
          <w:color w:val="000000"/>
        </w:rPr>
        <w:t xml:space="preserve"/>
        <w:tab/>
        <w:t xml:space="preserve">•</w:t>
        <w:tab/>
        <w:t xml:space="preserve">Chen et al. (2024). Benchmarking Large Language Models in Retrieval-Augmented Generation. https://arxiv.org/abs/2309.01431</w:t>
      </w:r>
    </w:p>
    <w:p>
      <w:pPr>
        <w:ind w:left="720"/>
        <w:spacing w:after="60"/>
      </w:pPr>
      <w:r>
        <w:rPr>
          <w:rFonts w:ascii="Arial" w:hAnsi="Arial" w:cs="Arial"/>
          <w:sz w:val="24"/>
          <w:sz-cs w:val="24"/>
          <w:b/>
          <w:color w:val="000000"/>
        </w:rPr>
        <w:t xml:space="preserve"/>
        <w:tab/>
        <w:t xml:space="preserve">•</w:t>
        <w:tab/>
        <w:t xml:space="preserve">Rajpurkar et al. (2018). Know What You Don't Know: Unanswerable Questions for SQuAD. https://arxiv.org/abs/1806.03822</w:t>
      </w:r>
    </w:p>
    <w:p>
      <w:pPr>
        <w:ind w:left="720"/>
        <w:spacing w:after="60"/>
      </w:pPr>
      <w:r>
        <w:rPr>
          <w:rFonts w:ascii="Arial" w:hAnsi="Arial" w:cs="Arial"/>
          <w:sz w:val="24"/>
          <w:sz-cs w:val="24"/>
          <w:b/>
          <w:color w:val="000000"/>
        </w:rPr>
        <w:t xml:space="preserve"/>
        <w:tab/>
        <w:t xml:space="preserve">•</w:t>
        <w:tab/>
        <w:t xml:space="preserve">Kadavath et al. (2022). Language Models (Mostly) Know What They Know. https://arxiv.org/abs/2207.05221</w:t>
      </w:r>
    </w:p>
    <w:p>
      <w:pPr>
        <w:ind w:left="720"/>
        <w:spacing w:after="60"/>
      </w:pPr>
      <w:r>
        <w:rPr>
          <w:rFonts w:ascii="Arial" w:hAnsi="Arial" w:cs="Arial"/>
          <w:sz w:val="24"/>
          <w:sz-cs w:val="24"/>
          <w:b/>
          <w:color w:val="000000"/>
        </w:rPr>
        <w:t xml:space="preserve"/>
        <w:tab/>
        <w:t xml:space="preserve">•</w:t>
        <w:tab/>
        <w:t xml:space="preserve">Es et al. (2024). RAGAS: Automated Evaluation of Retrieval Augmented Generation. https://arxiv.org/abs/2309.15217</w:t>
      </w:r>
    </w:p>
    <w:p>
      <w:pPr>
        <w:ind w:left="720"/>
        <w:spacing w:after="60"/>
      </w:pPr>
      <w:r>
        <w:rPr>
          <w:rFonts w:ascii="Arial" w:hAnsi="Arial" w:cs="Arial"/>
          <w:sz w:val="24"/>
          <w:sz-cs w:val="24"/>
          <w:b/>
          <w:color w:val="000000"/>
        </w:rPr>
        <w:t xml:space="preserve"/>
        <w:tab/>
        <w:t xml:space="preserve">•</w:t>
        <w:tab/>
        <w:t xml:space="preserve">Zheng et al. (2023). Judging LLM-as-a-Judge with MT-Bench and Chatbot Arena. https://arxiv.org/abs/2306.05685</w:t>
      </w:r>
    </w:p>
    <w:p>
      <w:pPr>
        <w:ind w:left="720"/>
        <w:spacing w:after="60"/>
      </w:pPr>
      <w:r>
        <w:rPr>
          <w:rFonts w:ascii="Arial" w:hAnsi="Arial" w:cs="Arial"/>
          <w:sz w:val="24"/>
          <w:sz-cs w:val="24"/>
          <w:b/>
          <w:color w:val="000000"/>
        </w:rPr>
        <w:t xml:space="preserve"/>
        <w:tab/>
        <w:t xml:space="preserve">•</w:t>
        <w:tab/>
        <w:t xml:space="preserve">Liang et al. (2023). Holistic Evaluation of Language Models (HELM). https://arxiv.org/abs/2211.09110</w:t>
      </w:r>
    </w:p>
    <w:p>
      <w:pPr>
        <w:ind w:left="720"/>
        <w:spacing w:after="60"/>
      </w:pPr>
      <w:r>
        <w:rPr>
          <w:rFonts w:ascii="Arial" w:hAnsi="Arial" w:cs="Arial"/>
          <w:sz w:val="24"/>
          <w:sz-cs w:val="24"/>
          <w:b/>
          <w:color w:val="000000"/>
        </w:rPr>
        <w:t xml:space="preserve"/>
        <w:tab/>
        <w:t xml:space="preserve">•</w:t>
        <w:tab/>
        <w:t xml:space="preserve">Chen et al. (2023). FrugalGPT: How to Use Large Language Models While Reducing Cost and Improving Performance. https://arxiv.org/abs/2305.05176</w:t>
      </w:r>
    </w:p>
    <w:p>
      <w:pPr>
        <w:ind w:left="720"/>
        <w:spacing w:after="60"/>
      </w:pPr>
      <w:r>
        <w:rPr>
          <w:rFonts w:ascii="Arial" w:hAnsi="Arial" w:cs="Arial"/>
          <w:sz w:val="24"/>
          <w:sz-cs w:val="24"/>
          <w:b/>
          <w:color w:val="000000"/>
        </w:rPr>
        <w:t xml:space="preserve"/>
        <w:tab/>
        <w:t xml:space="preserve">•</w:t>
        <w:tab/>
        <w:t xml:space="preserve">Greshake et al. (2023). Not What You've Signed Up For: Compromising Real-World LLM-Integrated Applications with Indirect Prompt Injection. https://arxiv.org/abs/2302.12173</w:t>
      </w:r>
    </w:p>
    <w:p>
      <w:pPr>
        <w:ind w:left="720"/>
        <w:spacing w:after="60"/>
      </w:pPr>
      <w:r>
        <w:rPr>
          <w:rFonts w:ascii="Arial" w:hAnsi="Arial" w:cs="Arial"/>
          <w:sz w:val="24"/>
          <w:sz-cs w:val="24"/>
          <w:b/>
          <w:color w:val="000000"/>
        </w:rPr>
        <w:t xml:space="preserve"/>
        <w:tab/>
        <w:t xml:space="preserve">•</w:t>
        <w:tab/>
        <w:t xml:space="preserve">Perez and Ribeiro (2022). Ignore Previous Prompt: Attack Techniques For Language Models. https://arxiv.org/abs/2211.09527</w:t>
      </w:r>
    </w:p>
    <w:p>
      <w:pPr>
        <w:ind w:left="720"/>
        <w:spacing w:after="60"/>
      </w:pPr>
      <w:r>
        <w:rPr>
          <w:rFonts w:ascii="Arial" w:hAnsi="Arial" w:cs="Arial"/>
          <w:sz w:val="24"/>
          <w:sz-cs w:val="24"/>
          <w:b/>
          <w:color w:val="000000"/>
        </w:rPr>
        <w:t xml:space="preserve"/>
        <w:tab/>
        <w:t xml:space="preserve">•</w:t>
        <w:tab/>
        <w:t xml:space="preserve">Yi et al. (2023). Benchmarking and Defending Against Indirect Prompt Injection Attacks on Large Language Models (BIPIA). https://arxiv.org/abs/2312.14197</w:t>
      </w:r>
    </w:p>
    <w:p>
      <w:pPr>
        <w:ind w:left="720"/>
        <w:spacing w:after="60"/>
      </w:pPr>
      <w:r>
        <w:rPr>
          <w:rFonts w:ascii="Arial" w:hAnsi="Arial" w:cs="Arial"/>
          <w:sz w:val="24"/>
          <w:sz-cs w:val="24"/>
          <w:b/>
          <w:color w:val="000000"/>
        </w:rPr>
        <w:t xml:space="preserve"/>
        <w:tab/>
        <w:t xml:space="preserve">•</w:t>
        <w:tab/>
        <w:t xml:space="preserve">Hines et al. (2024). Defending Against Indirect Prompt Injection Attacks With Spotlighting. https://arxiv.org/abs/2403.14720</w:t>
      </w:r>
    </w:p>
    <w:p>
      <w:pPr>
        <w:ind w:left="720"/>
        <w:spacing w:after="60"/>
      </w:pPr>
      <w:r>
        <w:rPr>
          <w:rFonts w:ascii="Arial" w:hAnsi="Arial" w:cs="Arial"/>
          <w:sz w:val="24"/>
          <w:sz-cs w:val="24"/>
          <w:b/>
          <w:color w:val="000000"/>
        </w:rPr>
        <w:t xml:space="preserve"/>
        <w:tab/>
        <w:t xml:space="preserve">•</w:t>
        <w:tab/>
        <w:t xml:space="preserve">Zhan et al. (2024). InjecAgent: Benchmarking Indirect Prompt Injections in Tool-Integrated Large Language Model Agents. https://arxiv.org/abs/2403.02691</w:t>
      </w:r>
    </w:p>
    <w:p>
      <w:pPr>
        <w:ind w:left="720"/>
        <w:spacing w:after="60"/>
      </w:pPr>
      <w:r>
        <w:rPr>
          <w:rFonts w:ascii="Arial" w:hAnsi="Arial" w:cs="Arial"/>
          <w:sz w:val="24"/>
          <w:sz-cs w:val="24"/>
          <w:b/>
          <w:color w:val="000000"/>
        </w:rPr>
        <w:t xml:space="preserve"/>
        <w:tab/>
        <w:t xml:space="preserve">•</w:t>
        <w:tab/>
        <w:t xml:space="preserve">Debenedetti et al. (2024). AgentDojo: A Dynamic Environment to Evaluate Prompt Injection Attacks and Defenses for LLM Agents. https://arxiv.org/abs/2406.13352</w:t>
      </w:r>
    </w:p>
    <w:p>
      <w:pPr>
        <w:ind w:left="720"/>
        <w:spacing w:after="60"/>
      </w:pPr>
      <w:r>
        <w:rPr>
          <w:rFonts w:ascii="Arial" w:hAnsi="Arial" w:cs="Arial"/>
          <w:sz w:val="24"/>
          <w:sz-cs w:val="24"/>
          <w:b/>
          <w:color w:val="000000"/>
        </w:rPr>
        <w:t xml:space="preserve"/>
        <w:tab/>
        <w:t xml:space="preserve">•</w:t>
        <w:tab/>
        <w:t xml:space="preserve">Wallace et al. (2024). The Instruction Hierarchy: Training LLMs to Prioritize Privileged Instructions. https://arxiv.org/abs/2404.13208</w:t>
      </w:r>
    </w:p>
    <w:p>
      <w:pPr>
        <w:ind w:left="720"/>
        <w:spacing w:after="60"/>
      </w:pPr>
      <w:r>
        <w:rPr>
          <w:rFonts w:ascii="Arial" w:hAnsi="Arial" w:cs="Arial"/>
          <w:sz w:val="24"/>
          <w:sz-cs w:val="24"/>
          <w:b/>
          <w:color w:val="000000"/>
        </w:rPr>
        <w:t xml:space="preserve"/>
        <w:tab/>
        <w:t xml:space="preserve">•</w:t>
        <w:tab/>
        <w:t xml:space="preserve">Sharma et al. (2024). Towards Understanding Sycophancy in Language Models. https://arxiv.org/abs/2310.13548</w:t>
      </w:r>
    </w:p>
    <w:sectPr>
      <w:pgSz w:w="12240" w:h="15840"/>
      <w:pgMar w:top="1440" w:right="1440" w:bottom="1440" w:left="1440"/>
    </w:sectPr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</cp:coreProperties>
</file>

<file path=docProps/meta.xml><?xml version="1.0" encoding="utf-8"?>
<meta xmlns="http://schemas.apple.com/cocoa/2006/metadata">
  <generator>CocoaOOXMLWriter/2685.4</generator>
</meta>
</file>