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D1B3C" w14:textId="15400BB8" w:rsidR="0005724D" w:rsidRPr="0033198A" w:rsidRDefault="0005724D" w:rsidP="0005724D">
      <w:pPr>
        <w:jc w:val="both"/>
        <w:rPr>
          <w:b/>
        </w:rPr>
      </w:pPr>
      <w:r w:rsidRPr="0033198A">
        <w:rPr>
          <w:b/>
        </w:rPr>
        <w:t xml:space="preserve">Title: </w:t>
      </w:r>
      <w:r w:rsidR="00887A21">
        <w:rPr>
          <w:b/>
        </w:rPr>
        <w:t>I</w:t>
      </w:r>
      <w:r>
        <w:rPr>
          <w:b/>
        </w:rPr>
        <w:t xml:space="preserve">s </w:t>
      </w:r>
      <w:r w:rsidR="0063566A">
        <w:rPr>
          <w:b/>
        </w:rPr>
        <w:t>the</w:t>
      </w:r>
      <w:r>
        <w:rPr>
          <w:b/>
        </w:rPr>
        <w:t xml:space="preserve"> </w:t>
      </w:r>
      <w:r w:rsidR="00887A21">
        <w:rPr>
          <w:b/>
        </w:rPr>
        <w:t>T</w:t>
      </w:r>
      <w:r>
        <w:rPr>
          <w:b/>
        </w:rPr>
        <w:t xml:space="preserve">ilt of </w:t>
      </w:r>
      <w:r w:rsidR="00887A21">
        <w:rPr>
          <w:b/>
        </w:rPr>
        <w:t>T</w:t>
      </w:r>
      <w:r>
        <w:rPr>
          <w:b/>
        </w:rPr>
        <w:t xml:space="preserve">he </w:t>
      </w:r>
      <w:r w:rsidR="00887A21">
        <w:rPr>
          <w:b/>
        </w:rPr>
        <w:t>O</w:t>
      </w:r>
      <w:r>
        <w:rPr>
          <w:b/>
        </w:rPr>
        <w:t xml:space="preserve">ptic </w:t>
      </w:r>
      <w:r w:rsidR="00887A21">
        <w:rPr>
          <w:b/>
        </w:rPr>
        <w:t>D</w:t>
      </w:r>
      <w:r>
        <w:rPr>
          <w:b/>
        </w:rPr>
        <w:t xml:space="preserve">isk </w:t>
      </w:r>
      <w:r w:rsidR="00887A21">
        <w:rPr>
          <w:b/>
        </w:rPr>
        <w:t>D</w:t>
      </w:r>
      <w:r>
        <w:rPr>
          <w:b/>
        </w:rPr>
        <w:t xml:space="preserve">ifferent in </w:t>
      </w:r>
      <w:r w:rsidR="00887A21">
        <w:rPr>
          <w:b/>
        </w:rPr>
        <w:t>M</w:t>
      </w:r>
      <w:r>
        <w:rPr>
          <w:b/>
        </w:rPr>
        <w:t xml:space="preserve">yopia? </w:t>
      </w:r>
      <w:r w:rsidRPr="0033198A">
        <w:rPr>
          <w:b/>
        </w:rPr>
        <w:t xml:space="preserve">Optic Disc Tilt Measurement </w:t>
      </w:r>
      <w:r>
        <w:rPr>
          <w:b/>
        </w:rPr>
        <w:t>b</w:t>
      </w:r>
      <w:r w:rsidRPr="0033198A">
        <w:rPr>
          <w:b/>
        </w:rPr>
        <w:t xml:space="preserve">y Three Different Methods </w:t>
      </w:r>
      <w:r w:rsidR="0063566A" w:rsidRPr="0033198A">
        <w:rPr>
          <w:b/>
        </w:rPr>
        <w:t>in</w:t>
      </w:r>
      <w:r w:rsidRPr="0033198A">
        <w:rPr>
          <w:b/>
        </w:rPr>
        <w:t xml:space="preserve"> Myopic Eyes</w:t>
      </w:r>
    </w:p>
    <w:p w14:paraId="103AB2ED" w14:textId="77777777" w:rsidR="0005724D" w:rsidRPr="0033198A" w:rsidRDefault="0005724D" w:rsidP="0005724D">
      <w:pPr>
        <w:jc w:val="both"/>
        <w:rPr>
          <w:rFonts w:cstheme="minorHAnsi"/>
          <w:b/>
        </w:rPr>
      </w:pPr>
      <w:r w:rsidRPr="0033198A">
        <w:rPr>
          <w:rFonts w:cstheme="minorHAnsi"/>
          <w:b/>
        </w:rPr>
        <w:t xml:space="preserve">Authors: </w:t>
      </w:r>
      <w:r w:rsidRPr="0033198A">
        <w:rPr>
          <w:b/>
        </w:rPr>
        <w:t xml:space="preserve">Nitish Gudapati, S. Swedha, J. Jothi Balaji, </w:t>
      </w:r>
      <w:r w:rsidRPr="0033198A">
        <w:rPr>
          <w:rFonts w:cstheme="minorHAnsi"/>
          <w:b/>
        </w:rPr>
        <w:t>Vasudevan Lakshminarayanan</w:t>
      </w:r>
    </w:p>
    <w:p w14:paraId="36EEF7AE" w14:textId="77777777" w:rsidR="0005724D" w:rsidRDefault="0005724D" w:rsidP="0005724D">
      <w:pPr>
        <w:jc w:val="both"/>
        <w:rPr>
          <w:b/>
        </w:rPr>
      </w:pPr>
    </w:p>
    <w:p w14:paraId="08A08FED" w14:textId="77777777" w:rsidR="0005724D" w:rsidRPr="0033198A" w:rsidRDefault="0005724D" w:rsidP="0005724D">
      <w:pPr>
        <w:rPr>
          <w:rFonts w:cstheme="minorHAnsi"/>
          <w:b/>
        </w:rPr>
      </w:pPr>
      <w:r w:rsidRPr="00E511EA">
        <w:rPr>
          <w:rFonts w:cstheme="minorHAnsi"/>
          <w:b/>
        </w:rPr>
        <w:t>Contact Information:</w:t>
      </w:r>
    </w:p>
    <w:p w14:paraId="12BE360A" w14:textId="77777777" w:rsidR="0005724D" w:rsidRPr="00EE6382" w:rsidRDefault="0005724D" w:rsidP="0005724D">
      <w:pPr>
        <w:jc w:val="both"/>
        <w:rPr>
          <w:b/>
        </w:rPr>
      </w:pPr>
      <w:r w:rsidRPr="00EE6382">
        <w:rPr>
          <w:b/>
        </w:rPr>
        <w:t xml:space="preserve">Nitish Gudapati, Mechanical Engineering, National Institute of Technology, Tiruchirappalli, India - 620015, Phone: +917200790709, email: </w:t>
      </w:r>
      <w:hyperlink r:id="rId5" w:history="1">
        <w:r w:rsidRPr="00EE6382">
          <w:rPr>
            <w:rStyle w:val="Hyperlink"/>
            <w:b/>
          </w:rPr>
          <w:t>gudapatinitish9@gmail.com</w:t>
        </w:r>
      </w:hyperlink>
      <w:r w:rsidRPr="00EE6382">
        <w:rPr>
          <w:b/>
        </w:rPr>
        <w:t xml:space="preserve"> </w:t>
      </w:r>
    </w:p>
    <w:p w14:paraId="262BE74A" w14:textId="77777777" w:rsidR="0005724D" w:rsidRPr="00EE6382" w:rsidRDefault="0005724D" w:rsidP="0005724D">
      <w:pPr>
        <w:jc w:val="both"/>
        <w:rPr>
          <w:b/>
        </w:rPr>
      </w:pPr>
      <w:r w:rsidRPr="00EE6382">
        <w:rPr>
          <w:b/>
        </w:rPr>
        <w:t>S. Swedha, Electronics</w:t>
      </w:r>
      <w:r>
        <w:rPr>
          <w:b/>
        </w:rPr>
        <w:t xml:space="preserve"> and Communication Engineering</w:t>
      </w:r>
      <w:r w:rsidRPr="00EE6382">
        <w:rPr>
          <w:b/>
        </w:rPr>
        <w:t xml:space="preserve">, National Institute of Technology, </w:t>
      </w:r>
      <w:r>
        <w:rPr>
          <w:b/>
        </w:rPr>
        <w:t>T</w:t>
      </w:r>
      <w:r w:rsidRPr="00EE6382">
        <w:rPr>
          <w:b/>
        </w:rPr>
        <w:t xml:space="preserve">iruchirappalli, India - 620015, Phone: +91 9080956711, email: </w:t>
      </w:r>
      <w:hyperlink r:id="rId6" w:history="1">
        <w:r w:rsidRPr="00EE6382">
          <w:rPr>
            <w:rStyle w:val="Hyperlink"/>
            <w:b/>
          </w:rPr>
          <w:t>s.swedha.krmg@gmail.com</w:t>
        </w:r>
      </w:hyperlink>
      <w:r w:rsidRPr="00EE6382">
        <w:rPr>
          <w:b/>
        </w:rPr>
        <w:t xml:space="preserve"> </w:t>
      </w:r>
    </w:p>
    <w:p w14:paraId="7D54CA8F" w14:textId="77777777" w:rsidR="0005724D" w:rsidRDefault="0005724D" w:rsidP="0005724D">
      <w:pPr>
        <w:jc w:val="both"/>
        <w:rPr>
          <w:b/>
        </w:rPr>
      </w:pPr>
      <w:r>
        <w:rPr>
          <w:b/>
        </w:rPr>
        <w:t xml:space="preserve">J. Jothi Balaji: Department of Optometry, Medical Research Foundation, Chennai -600 006, India, Phone: +91 44-4227 1500, email: </w:t>
      </w:r>
      <w:hyperlink r:id="rId7">
        <w:r>
          <w:rPr>
            <w:b/>
            <w:color w:val="0563C1"/>
            <w:u w:val="single"/>
          </w:rPr>
          <w:t>jothibalaji@gmail.com</w:t>
        </w:r>
      </w:hyperlink>
      <w:r>
        <w:rPr>
          <w:b/>
        </w:rPr>
        <w:t xml:space="preserve"> </w:t>
      </w:r>
    </w:p>
    <w:p w14:paraId="38EBD77F" w14:textId="77777777" w:rsidR="0005724D" w:rsidRDefault="0005724D" w:rsidP="0005724D">
      <w:pPr>
        <w:jc w:val="both"/>
        <w:rPr>
          <w:b/>
        </w:rPr>
      </w:pPr>
      <w:r>
        <w:rPr>
          <w:b/>
        </w:rPr>
        <w:t xml:space="preserve">Vasudevan Lakshminarayanan: Theoretical and Experimental Epistemology Lab, School of Optometry and Vision Science, University of Waterloo, Waterloo, Ontario N2L 3G1, Canada, Phone: 519-888-4567 x 38167, email: </w:t>
      </w:r>
      <w:hyperlink r:id="rId8">
        <w:r>
          <w:rPr>
            <w:b/>
            <w:color w:val="0563C1"/>
            <w:u w:val="single"/>
          </w:rPr>
          <w:t>vengulak@uwaterloo.ca</w:t>
        </w:r>
      </w:hyperlink>
      <w:r>
        <w:rPr>
          <w:b/>
        </w:rPr>
        <w:t xml:space="preserve"> </w:t>
      </w:r>
    </w:p>
    <w:p w14:paraId="4AB6ED3E" w14:textId="77777777" w:rsidR="0005724D" w:rsidRPr="00A01DF2" w:rsidRDefault="0005724D" w:rsidP="0005724D">
      <w:pPr>
        <w:rPr>
          <w:b/>
        </w:rPr>
      </w:pPr>
      <w:r w:rsidRPr="00A01DF2">
        <w:rPr>
          <w:b/>
        </w:rPr>
        <w:t>Abstract:</w:t>
      </w:r>
    </w:p>
    <w:p w14:paraId="66B82FA6" w14:textId="5B86E71F" w:rsidR="0005724D" w:rsidRDefault="0005724D" w:rsidP="0005724D">
      <w:pPr>
        <w:pBdr>
          <w:top w:val="nil"/>
          <w:left w:val="nil"/>
          <w:bottom w:val="nil"/>
          <w:right w:val="nil"/>
          <w:between w:val="nil"/>
        </w:pBdr>
        <w:spacing w:after="280"/>
        <w:jc w:val="both"/>
        <w:rPr>
          <w:color w:val="1C1E29"/>
        </w:rPr>
      </w:pPr>
      <w:r>
        <w:rPr>
          <w:color w:val="1C1E29"/>
        </w:rPr>
        <w:t>The prevalence of m</w:t>
      </w:r>
      <w:r w:rsidRPr="00414A6A">
        <w:rPr>
          <w:color w:val="1C1E29"/>
        </w:rPr>
        <w:t xml:space="preserve">yopia </w:t>
      </w:r>
      <w:r>
        <w:rPr>
          <w:color w:val="1C1E29"/>
        </w:rPr>
        <w:t xml:space="preserve">is a </w:t>
      </w:r>
      <w:r w:rsidRPr="00414A6A">
        <w:rPr>
          <w:color w:val="1C1E29"/>
        </w:rPr>
        <w:t>ma</w:t>
      </w:r>
      <w:r>
        <w:rPr>
          <w:color w:val="1C1E29"/>
        </w:rPr>
        <w:t xml:space="preserve">jor concern worldwide. Optic disc tilt (ODT), </w:t>
      </w:r>
      <w:r w:rsidRPr="00E86A71">
        <w:rPr>
          <w:color w:val="1C1E29"/>
        </w:rPr>
        <w:t xml:space="preserve">Peripapillary atrophy </w:t>
      </w:r>
      <w:r>
        <w:rPr>
          <w:color w:val="1C1E29"/>
        </w:rPr>
        <w:t>(P</w:t>
      </w:r>
      <w:r w:rsidRPr="00E86A71">
        <w:rPr>
          <w:color w:val="1C1E29"/>
        </w:rPr>
        <w:t>PA</w:t>
      </w:r>
      <w:r>
        <w:rPr>
          <w:color w:val="1C1E29"/>
        </w:rPr>
        <w:t>)</w:t>
      </w:r>
      <w:r w:rsidRPr="00E86A71">
        <w:rPr>
          <w:color w:val="1C1E29"/>
        </w:rPr>
        <w:t xml:space="preserve"> and abnormally larg</w:t>
      </w:r>
      <w:r>
        <w:rPr>
          <w:color w:val="1C1E29"/>
        </w:rPr>
        <w:t xml:space="preserve">e or small optic discs are the </w:t>
      </w:r>
      <w:r w:rsidRPr="00E86A71">
        <w:rPr>
          <w:color w:val="1C1E29"/>
        </w:rPr>
        <w:t xml:space="preserve">earliest known changes occurring </w:t>
      </w:r>
      <w:r>
        <w:rPr>
          <w:color w:val="1C1E29"/>
        </w:rPr>
        <w:t xml:space="preserve">in </w:t>
      </w:r>
      <w:r w:rsidRPr="00E86A71">
        <w:rPr>
          <w:color w:val="1C1E29"/>
        </w:rPr>
        <w:t xml:space="preserve">myopic </w:t>
      </w:r>
      <w:r>
        <w:rPr>
          <w:color w:val="1C1E29"/>
        </w:rPr>
        <w:t xml:space="preserve">eyes </w:t>
      </w:r>
      <w:r w:rsidRPr="00E86A71">
        <w:rPr>
          <w:color w:val="1C1E29"/>
        </w:rPr>
        <w:t xml:space="preserve">and may precede the development of </w:t>
      </w:r>
      <w:r>
        <w:rPr>
          <w:color w:val="1C1E29"/>
        </w:rPr>
        <w:t>pathological myopia</w:t>
      </w:r>
      <w:r w:rsidRPr="00E86A71">
        <w:rPr>
          <w:color w:val="1C1E29"/>
        </w:rPr>
        <w:t>.</w:t>
      </w:r>
      <w:r>
        <w:rPr>
          <w:color w:val="1C1E29"/>
        </w:rPr>
        <w:t xml:space="preserve"> Increasing ODT and distance between the macula and optic nerve head have been reported being associated with progressive myopia. Therefore, it is important to segment and quantify the ODT accurately. Using a new automated image processing </w:t>
      </w:r>
      <w:r w:rsidR="0063566A">
        <w:rPr>
          <w:color w:val="1C1E29"/>
        </w:rPr>
        <w:t>method,</w:t>
      </w:r>
      <w:r w:rsidR="00E56706">
        <w:rPr>
          <w:color w:val="1C1E29"/>
        </w:rPr>
        <w:t xml:space="preserve"> </w:t>
      </w:r>
      <w:r>
        <w:rPr>
          <w:color w:val="1C1E29"/>
        </w:rPr>
        <w:t>we measured the ODT in both myopes and emmetropes.</w:t>
      </w:r>
    </w:p>
    <w:p w14:paraId="4308E220" w14:textId="77777777" w:rsidR="0005724D" w:rsidRPr="00282E8E" w:rsidRDefault="0005724D" w:rsidP="0005724D">
      <w:pPr>
        <w:jc w:val="both"/>
      </w:pPr>
      <w:r>
        <w:rPr>
          <w:color w:val="1C1E29"/>
        </w:rPr>
        <w:t xml:space="preserve">We determined the ODT from myopic (n= 24) and compared the results with emmetropia (n=18).  All 42 optical coherence tomography (OCT) images had dimensions of 200x200 pixels corresponding to 6mm x 6mm. The myopic OCT images were labelled based on a severity scale as mild, moderate and high using standard refractive error classifications. Each OCT image was manually segmented by a clinician as well as, by the new automated method. </w:t>
      </w:r>
      <w:r w:rsidRPr="00282E8E">
        <w:t xml:space="preserve">The OCT images </w:t>
      </w:r>
      <w:r>
        <w:t>were</w:t>
      </w:r>
      <w:r w:rsidRPr="00282E8E">
        <w:t xml:space="preserve"> 8-bit grayscale images of sizes ranging from 400 to 600 pixels in width and 700 to 900 pixels in height. These images </w:t>
      </w:r>
      <w:r>
        <w:t>were</w:t>
      </w:r>
      <w:r w:rsidRPr="00282E8E">
        <w:t xml:space="preserve"> preprocessed by </w:t>
      </w:r>
      <w:r>
        <w:t xml:space="preserve">convolving </w:t>
      </w:r>
      <w:r w:rsidRPr="00282E8E">
        <w:t xml:space="preserve">with a Gaussian kernel to remove noise followed by a Contrast Limited Adaptive Histogram Equalization based thresholding to determine the white bands, the region of interest. </w:t>
      </w:r>
      <w:r>
        <w:t xml:space="preserve">  The white band represents….</w:t>
      </w:r>
    </w:p>
    <w:p w14:paraId="46D7B1E7" w14:textId="5A121E37" w:rsidR="0005724D" w:rsidRPr="00240291" w:rsidRDefault="0005724D" w:rsidP="0005724D">
      <w:pPr>
        <w:jc w:val="both"/>
      </w:pPr>
      <w:r w:rsidRPr="00282E8E">
        <w:t xml:space="preserve">The thresholded image </w:t>
      </w:r>
      <w:r>
        <w:t>was</w:t>
      </w:r>
      <w:r w:rsidR="00E56706">
        <w:t xml:space="preserve"> </w:t>
      </w:r>
      <w:r w:rsidRPr="00282E8E">
        <w:t xml:space="preserve">split into two halves about </w:t>
      </w:r>
      <w:r w:rsidR="0063566A" w:rsidRPr="00282E8E">
        <w:t>a point</w:t>
      </w:r>
      <w:r>
        <w:t xml:space="preserve"> </w:t>
      </w:r>
      <w:r w:rsidRPr="00282E8E">
        <w:t xml:space="preserve">to fit two lines separately for each half.  Morphological transforms are applied to the resulting image to remove any artefacts or noisy points. The operations used </w:t>
      </w:r>
      <w:r>
        <w:t>were</w:t>
      </w:r>
      <w:r w:rsidR="00E56706">
        <w:t xml:space="preserve"> </w:t>
      </w:r>
      <w:r w:rsidRPr="00282E8E">
        <w:t xml:space="preserve">erosion and dilation. These operations </w:t>
      </w:r>
      <w:r>
        <w:t>were</w:t>
      </w:r>
      <w:r w:rsidRPr="00282E8E">
        <w:t xml:space="preserve"> performed by convolving a 5x5 kernel with the image for a single iteration. In erosion, the pixels </w:t>
      </w:r>
      <w:r>
        <w:t>were</w:t>
      </w:r>
      <w:r w:rsidRPr="00282E8E">
        <w:t xml:space="preserve"> retained white only when all the pixels of the convolution are white, otherwise, all </w:t>
      </w:r>
      <w:r>
        <w:t>were</w:t>
      </w:r>
      <w:r w:rsidRPr="00282E8E">
        <w:t xml:space="preserve"> made black. In dilation, the pixels </w:t>
      </w:r>
      <w:r>
        <w:t>were</w:t>
      </w:r>
      <w:r w:rsidRPr="00282E8E">
        <w:t xml:space="preserve"> retained black only if all the pixels of the convolution are black, otherwise, all </w:t>
      </w:r>
      <w:r>
        <w:t>were</w:t>
      </w:r>
      <w:r w:rsidRPr="00282E8E">
        <w:t xml:space="preserve"> made white. The images </w:t>
      </w:r>
      <w:r>
        <w:t>were</w:t>
      </w:r>
      <w:r w:rsidRPr="00282E8E">
        <w:t xml:space="preserve"> tested with three combinations of erosion and dilation iterations, the first set with no erosion and dilation, the second with 1 iteration of erosion followed by 2 iterations of dilation, and the last being 2 iterations of erosion followed by 3 iterations of dilation. Following this we fit a line for the white band on each half of the image </w:t>
      </w:r>
      <w:r w:rsidRPr="00282E8E">
        <w:lastRenderedPageBreak/>
        <w:t xml:space="preserve">using </w:t>
      </w:r>
      <w:r>
        <w:t>a</w:t>
      </w:r>
      <w:r w:rsidRPr="00282E8E">
        <w:t xml:space="preserve"> univariate linear regression model separately on each half.  </w:t>
      </w:r>
      <w:r>
        <w:t xml:space="preserve">From this the slopes of the lines and hence the angle between the lines were determined. </w:t>
      </w:r>
      <w:r w:rsidRPr="004A23D0">
        <w:t xml:space="preserve">The </w:t>
      </w:r>
      <w:r w:rsidR="00CF6370">
        <w:t>maximum</w:t>
      </w:r>
      <w:r>
        <w:t xml:space="preserve"> </w:t>
      </w:r>
      <w:r w:rsidR="00CF6370">
        <w:t xml:space="preserve">(mean </w:t>
      </w:r>
      <w:r w:rsidR="00CF6370" w:rsidRPr="008F5CB8">
        <w:t>±</w:t>
      </w:r>
      <w:r w:rsidR="00CF6370">
        <w:t xml:space="preserve"> SD) </w:t>
      </w:r>
      <w:r>
        <w:t xml:space="preserve">horizontal ODT values for </w:t>
      </w:r>
      <w:r w:rsidR="00CF6370">
        <w:t xml:space="preserve">both </w:t>
      </w:r>
      <w:r>
        <w:t>emmetropes</w:t>
      </w:r>
      <w:r w:rsidR="00CF6370">
        <w:t xml:space="preserve"> and myopes</w:t>
      </w:r>
      <w:r>
        <w:t xml:space="preserve"> </w:t>
      </w:r>
      <w:r w:rsidR="00CF6370">
        <w:t xml:space="preserve">was by method II </w:t>
      </w:r>
      <w:r w:rsidR="00CF6370" w:rsidRPr="00CF6370">
        <w:t>(</w:t>
      </w:r>
      <w:r w:rsidRPr="00CF6370">
        <w:t>1</w:t>
      </w:r>
      <w:r w:rsidR="00CF6370" w:rsidRPr="00CF6370">
        <w:t>7</w:t>
      </w:r>
      <w:r w:rsidRPr="00CF6370">
        <w:t>.5</w:t>
      </w:r>
      <w:r w:rsidR="00CF6370" w:rsidRPr="00CF6370">
        <w:t>4</w:t>
      </w:r>
      <w:r w:rsidR="00CF6370" w:rsidRPr="00CF6370">
        <w:sym w:font="Symbol" w:char="F0B0"/>
      </w:r>
      <w:r w:rsidRPr="00CF6370">
        <w:t xml:space="preserve"> ± </w:t>
      </w:r>
      <w:r w:rsidR="00CF6370" w:rsidRPr="00CF6370">
        <w:t>2</w:t>
      </w:r>
      <w:r w:rsidRPr="00CF6370">
        <w:t>.</w:t>
      </w:r>
      <w:r w:rsidR="00CF6370" w:rsidRPr="00CF6370">
        <w:t>92 &amp; 19.11</w:t>
      </w:r>
      <w:r w:rsidR="00CF6370" w:rsidRPr="00CF6370">
        <w:sym w:font="Symbol" w:char="F0B0"/>
      </w:r>
      <w:r w:rsidR="00CF6370" w:rsidRPr="00CF6370">
        <w:t xml:space="preserve"> ± 12.77) and minimum ODT was by clinical expert method (14.95</w:t>
      </w:r>
      <w:r w:rsidR="00CF6370" w:rsidRPr="00CF6370">
        <w:sym w:font="Symbol" w:char="F0B0"/>
      </w:r>
      <w:r w:rsidR="00CF6370" w:rsidRPr="00CF6370">
        <w:t xml:space="preserve"> ± 4.20 &amp; 15.76</w:t>
      </w:r>
      <w:r w:rsidR="00CF6370" w:rsidRPr="00CF6370">
        <w:sym w:font="Symbol" w:char="F0B0"/>
      </w:r>
      <w:r w:rsidR="00CF6370" w:rsidRPr="00CF6370">
        <w:t xml:space="preserve"> ± 7.12).</w:t>
      </w:r>
      <w:r w:rsidR="00CF6370">
        <w:rPr>
          <w:sz w:val="16"/>
        </w:rPr>
        <w:t xml:space="preserve"> </w:t>
      </w:r>
      <w:r w:rsidR="00CF6370" w:rsidRPr="00CF6370">
        <w:t xml:space="preserve">The </w:t>
      </w:r>
      <w:r w:rsidRPr="00CF6370">
        <w:t>myopes</w:t>
      </w:r>
      <w:r w:rsidR="00CF6370">
        <w:t xml:space="preserve"> showed</w:t>
      </w:r>
      <w:r w:rsidRPr="00CF6370">
        <w:t xml:space="preserve"> </w:t>
      </w:r>
      <w:r w:rsidR="00CF6370">
        <w:t>a</w:t>
      </w:r>
      <w:r w:rsidR="00627F6A">
        <w:t xml:space="preserve"> high</w:t>
      </w:r>
      <w:r w:rsidR="00E56706">
        <w:t>er</w:t>
      </w:r>
      <w:r w:rsidR="00627F6A">
        <w:t xml:space="preserve"> tilting angle than emmetropia in </w:t>
      </w:r>
      <w:r w:rsidRPr="00CF6370">
        <w:t>both horizontal and vertical</w:t>
      </w:r>
      <w:r w:rsidR="00E56706">
        <w:t>.</w:t>
      </w:r>
      <w:r w:rsidRPr="00CF6370">
        <w:t xml:space="preserve"> </w:t>
      </w:r>
      <w:r w:rsidR="00E56706">
        <w:t>H</w:t>
      </w:r>
      <w:r w:rsidR="00627F6A">
        <w:t>owever</w:t>
      </w:r>
      <w:r w:rsidR="00E56706">
        <w:t>,</w:t>
      </w:r>
      <w:r w:rsidR="00627F6A">
        <w:t xml:space="preserve"> it was an insignificant one (p&gt;0.05). </w:t>
      </w:r>
      <w:r w:rsidRPr="00CF6370">
        <w:rPr>
          <w:color w:val="1C1E29"/>
        </w:rPr>
        <w:t>All four methods showed a more horizontal ODT than vertical in both normal and myopia. Both vertical and horizontal ODT was higher in myopic eyes.</w:t>
      </w:r>
      <w:r>
        <w:rPr>
          <w:color w:val="1C1E29"/>
        </w:rPr>
        <w:t xml:space="preserve"> </w:t>
      </w:r>
    </w:p>
    <w:p w14:paraId="16A71B16" w14:textId="77777777" w:rsidR="0005724D" w:rsidRDefault="0005724D" w:rsidP="0005724D">
      <w:pPr>
        <w:rPr>
          <w:b/>
        </w:rPr>
      </w:pPr>
    </w:p>
    <w:p w14:paraId="5BD0C14F" w14:textId="0543D74B" w:rsidR="0005724D" w:rsidRPr="00A01DF2" w:rsidRDefault="0005724D" w:rsidP="0005724D">
      <w:pPr>
        <w:rPr>
          <w:b/>
        </w:rPr>
      </w:pPr>
      <w:r>
        <w:rPr>
          <w:b/>
        </w:rPr>
        <w:t>100-word</w:t>
      </w:r>
      <w:r w:rsidRPr="00A01DF2">
        <w:rPr>
          <w:b/>
        </w:rPr>
        <w:t xml:space="preserve"> summary</w:t>
      </w:r>
    </w:p>
    <w:p w14:paraId="67283A23" w14:textId="778071AA" w:rsidR="0005724D" w:rsidRDefault="0005724D" w:rsidP="0005724D">
      <w:pPr>
        <w:jc w:val="both"/>
        <w:rPr>
          <w:color w:val="1C1E29"/>
        </w:rPr>
      </w:pPr>
      <w:r>
        <w:rPr>
          <w:color w:val="1C1E29"/>
        </w:rPr>
        <w:t xml:space="preserve">We investigated the characteristics of the optic nerve head in subjects with emmetropia (n=18) and </w:t>
      </w:r>
      <w:r w:rsidR="0063566A">
        <w:rPr>
          <w:color w:val="1C1E29"/>
        </w:rPr>
        <w:t>myopia (</w:t>
      </w:r>
      <w:r>
        <w:rPr>
          <w:color w:val="1C1E29"/>
        </w:rPr>
        <w:t>n=20). We quantitatively measured the optic disc tilt in 3 automated methods and also by a clinical expert method. The horizontal optic disc tilt was noted both in emmetropic and myopic eyes. The typical average value of tilt was:  A significant difference between emmetropic and myopic eyes observed by all four methods. However, the maximum horizontal tilt was noted in method III between emmetropic and myopic eyes.</w:t>
      </w:r>
    </w:p>
    <w:p w14:paraId="15956B9D" w14:textId="77777777" w:rsidR="00B3691D" w:rsidRDefault="00B3691D" w:rsidP="0005724D">
      <w:pPr>
        <w:jc w:val="both"/>
      </w:pPr>
      <w:bookmarkStart w:id="0" w:name="_GoBack"/>
      <w:bookmarkEnd w:id="0"/>
    </w:p>
    <w:p w14:paraId="2F9D0E05" w14:textId="77777777" w:rsidR="00414A6A" w:rsidRPr="00A01DF2" w:rsidRDefault="00414A6A" w:rsidP="00414A6A">
      <w:pPr>
        <w:rPr>
          <w:b/>
        </w:rPr>
      </w:pPr>
      <w:r w:rsidRPr="00A01DF2">
        <w:rPr>
          <w:b/>
        </w:rPr>
        <w:t xml:space="preserve">Extended Abstract: </w:t>
      </w:r>
    </w:p>
    <w:p w14:paraId="6C327E4B" w14:textId="148B2842" w:rsidR="00EE6382" w:rsidRPr="003F7BC3" w:rsidRDefault="00A269DC" w:rsidP="00EE6382">
      <w:pPr>
        <w:jc w:val="both"/>
      </w:pPr>
      <w:r>
        <w:rPr>
          <w:color w:val="1C1E29"/>
        </w:rPr>
        <w:t>The prevalence of m</w:t>
      </w:r>
      <w:r w:rsidRPr="00414A6A">
        <w:rPr>
          <w:color w:val="1C1E29"/>
        </w:rPr>
        <w:t xml:space="preserve">yopia </w:t>
      </w:r>
      <w:r>
        <w:rPr>
          <w:color w:val="1C1E29"/>
        </w:rPr>
        <w:t xml:space="preserve">is a </w:t>
      </w:r>
      <w:r w:rsidRPr="00414A6A">
        <w:rPr>
          <w:color w:val="1C1E29"/>
        </w:rPr>
        <w:t>ma</w:t>
      </w:r>
      <w:r>
        <w:rPr>
          <w:color w:val="1C1E29"/>
        </w:rPr>
        <w:t xml:space="preserve">jor concern worldwide. Optic disc tilt (ODT), </w:t>
      </w:r>
      <w:r w:rsidRPr="00E86A71">
        <w:rPr>
          <w:color w:val="1C1E29"/>
        </w:rPr>
        <w:t xml:space="preserve">Peripapillary atrophy </w:t>
      </w:r>
      <w:r>
        <w:rPr>
          <w:color w:val="1C1E29"/>
        </w:rPr>
        <w:t>(P</w:t>
      </w:r>
      <w:r w:rsidRPr="00E86A71">
        <w:rPr>
          <w:color w:val="1C1E29"/>
        </w:rPr>
        <w:t>PA</w:t>
      </w:r>
      <w:r>
        <w:rPr>
          <w:color w:val="1C1E29"/>
        </w:rPr>
        <w:t>)</w:t>
      </w:r>
      <w:r w:rsidRPr="00E86A71">
        <w:rPr>
          <w:color w:val="1C1E29"/>
        </w:rPr>
        <w:t xml:space="preserve"> and abnormally larg</w:t>
      </w:r>
      <w:r>
        <w:rPr>
          <w:color w:val="1C1E29"/>
        </w:rPr>
        <w:t xml:space="preserve">e or small optic discs are the </w:t>
      </w:r>
      <w:r w:rsidRPr="00E86A71">
        <w:rPr>
          <w:color w:val="1C1E29"/>
        </w:rPr>
        <w:t xml:space="preserve">earliest known changes occurring </w:t>
      </w:r>
      <w:r>
        <w:rPr>
          <w:color w:val="1C1E29"/>
        </w:rPr>
        <w:t xml:space="preserve">in </w:t>
      </w:r>
      <w:r w:rsidRPr="00E86A71">
        <w:rPr>
          <w:color w:val="1C1E29"/>
        </w:rPr>
        <w:t xml:space="preserve">myopic </w:t>
      </w:r>
      <w:r>
        <w:rPr>
          <w:color w:val="1C1E29"/>
        </w:rPr>
        <w:t xml:space="preserve">eyes </w:t>
      </w:r>
      <w:r w:rsidRPr="00E86A71">
        <w:rPr>
          <w:color w:val="1C1E29"/>
        </w:rPr>
        <w:t xml:space="preserve">and may precede the development of </w:t>
      </w:r>
      <w:r>
        <w:rPr>
          <w:color w:val="1C1E29"/>
        </w:rPr>
        <w:t>pathological myopia</w:t>
      </w:r>
      <w:r w:rsidRPr="00E86A71">
        <w:rPr>
          <w:color w:val="1C1E29"/>
        </w:rPr>
        <w:t>.</w:t>
      </w:r>
      <w:r>
        <w:rPr>
          <w:color w:val="1C1E29"/>
        </w:rPr>
        <w:t xml:space="preserve"> [1] </w:t>
      </w:r>
      <w:r w:rsidR="00EE6382">
        <w:t xml:space="preserve">This paper investigates the </w:t>
      </w:r>
      <w:r w:rsidR="00AD3945">
        <w:t>optic nerve head</w:t>
      </w:r>
      <w:r w:rsidR="00EE6382">
        <w:t xml:space="preserve"> characteristics in both emmetropic and </w:t>
      </w:r>
      <w:r w:rsidR="00AD3945">
        <w:t>my</w:t>
      </w:r>
      <w:r w:rsidR="00EE6382">
        <w:t xml:space="preserve">opic subjects. We </w:t>
      </w:r>
      <w:r w:rsidR="00AD3945">
        <w:t xml:space="preserve">quantitatively measured three different newly </w:t>
      </w:r>
      <w:r w:rsidR="00EE6382">
        <w:t xml:space="preserve">developed image processing </w:t>
      </w:r>
      <w:r w:rsidR="00E56706">
        <w:t>techniques</w:t>
      </w:r>
      <w:r w:rsidR="00EE6382">
        <w:t xml:space="preserve"> </w:t>
      </w:r>
      <w:r w:rsidR="00AD3945">
        <w:t xml:space="preserve">and clinical expert </w:t>
      </w:r>
      <w:r w:rsidR="00E56706">
        <w:t>methods</w:t>
      </w:r>
      <w:r w:rsidR="00AD3945">
        <w:t xml:space="preserve"> too</w:t>
      </w:r>
      <w:r w:rsidR="00EE6382">
        <w:t>.</w:t>
      </w:r>
      <w:r w:rsidR="003F7BC3">
        <w:t xml:space="preserve"> </w:t>
      </w:r>
      <w:r w:rsidR="00EE6382">
        <w:rPr>
          <w:color w:val="000000"/>
        </w:rPr>
        <w:t xml:space="preserve">The </w:t>
      </w:r>
      <w:r w:rsidR="00AD3945">
        <w:rPr>
          <w:color w:val="000000"/>
        </w:rPr>
        <w:t>optic disc tilt</w:t>
      </w:r>
      <w:r w:rsidR="00EE6382">
        <w:rPr>
          <w:color w:val="000000"/>
        </w:rPr>
        <w:t xml:space="preserve"> </w:t>
      </w:r>
      <w:r>
        <w:rPr>
          <w:color w:val="000000"/>
        </w:rPr>
        <w:t>was</w:t>
      </w:r>
      <w:r w:rsidR="00EE6382">
        <w:rPr>
          <w:color w:val="000000"/>
        </w:rPr>
        <w:t xml:space="preserve"> calculated </w:t>
      </w:r>
      <w:r w:rsidR="003F7BC3">
        <w:rPr>
          <w:color w:val="000000"/>
        </w:rPr>
        <w:t>both in horizontal and vertical.</w:t>
      </w:r>
      <w:r w:rsidR="00EE6382">
        <w:rPr>
          <w:color w:val="000000"/>
        </w:rPr>
        <w:t xml:space="preserve"> </w:t>
      </w:r>
    </w:p>
    <w:p w14:paraId="6E2E9F4D" w14:textId="77777777" w:rsidR="00887A21" w:rsidRPr="00282E8E" w:rsidRDefault="00887A21" w:rsidP="00887A21">
      <w:pPr>
        <w:jc w:val="both"/>
      </w:pPr>
      <w:r>
        <w:rPr>
          <w:color w:val="1C1E29"/>
        </w:rPr>
        <w:t xml:space="preserve">We determined the ODT from myopic (n= 24) and compared the results with emmetropia (n=18).  All 42 optical coherence tomography (OCT) images had dimensions of 200x200 pixels corresponding to 6mm x 6mm. The myopic OCT images were labelled based on a severity scale as mild, moderate and high using standard refractive error classifications. Each OCT image was manually segmented by a clinician as well as, by the new automated method. </w:t>
      </w:r>
      <w:r w:rsidRPr="00282E8E">
        <w:t xml:space="preserve">The OCT images </w:t>
      </w:r>
      <w:r>
        <w:t>were</w:t>
      </w:r>
      <w:r w:rsidRPr="00282E8E">
        <w:t xml:space="preserve"> 8-bit grayscale images of sizes ranging from 400 to 600 pixels in width and 700 to 900 pixels in height. These images </w:t>
      </w:r>
      <w:r>
        <w:t>were</w:t>
      </w:r>
      <w:r w:rsidRPr="00282E8E">
        <w:t xml:space="preserve"> preprocessed by </w:t>
      </w:r>
      <w:r>
        <w:t xml:space="preserve">convolving </w:t>
      </w:r>
      <w:r w:rsidRPr="00282E8E">
        <w:t xml:space="preserve">with a Gaussian kernel to remove noise followed by a Contrast Limited Adaptive Histogram Equalization based thresholding to determine the white bands, the region of interest. </w:t>
      </w:r>
      <w:r>
        <w:t xml:space="preserve">  The white band represents….</w:t>
      </w:r>
    </w:p>
    <w:p w14:paraId="390C8B44" w14:textId="052DC373" w:rsidR="00887A21" w:rsidRDefault="00887A21" w:rsidP="00887A21">
      <w:pPr>
        <w:jc w:val="both"/>
      </w:pPr>
      <w:r w:rsidRPr="00282E8E">
        <w:t xml:space="preserve">The thresholded image </w:t>
      </w:r>
      <w:r>
        <w:t>was</w:t>
      </w:r>
      <w:r w:rsidR="00A269DC">
        <w:t xml:space="preserve"> </w:t>
      </w:r>
      <w:r w:rsidRPr="00282E8E">
        <w:t xml:space="preserve">split into two halves about </w:t>
      </w:r>
      <w:r w:rsidR="0063566A" w:rsidRPr="00282E8E">
        <w:t>a point</w:t>
      </w:r>
      <w:r>
        <w:t xml:space="preserve"> </w:t>
      </w:r>
      <w:r w:rsidRPr="00282E8E">
        <w:t xml:space="preserve">to fit two lines separately for each half.  Morphological transforms are applied to the resulting image to remove any artefacts or noisy points. The operations used </w:t>
      </w:r>
      <w:r>
        <w:t>were</w:t>
      </w:r>
      <w:r w:rsidR="00A269DC">
        <w:t xml:space="preserve"> </w:t>
      </w:r>
      <w:r w:rsidRPr="00282E8E">
        <w:t xml:space="preserve">erosion and dilation. These operations </w:t>
      </w:r>
      <w:r>
        <w:t>were</w:t>
      </w:r>
      <w:r w:rsidRPr="00282E8E">
        <w:t xml:space="preserve"> performed by convolving a 5x5 kernel with the image for a single iteration. In erosion, the pixels </w:t>
      </w:r>
      <w:r>
        <w:t>were</w:t>
      </w:r>
      <w:r w:rsidRPr="00282E8E">
        <w:t xml:space="preserve"> retained white only when all the pixels of the convolution are white, otherwise, all </w:t>
      </w:r>
      <w:r>
        <w:t>were</w:t>
      </w:r>
      <w:r w:rsidRPr="00282E8E">
        <w:t xml:space="preserve"> made black. In dilation, the pixels </w:t>
      </w:r>
      <w:r>
        <w:t>were</w:t>
      </w:r>
      <w:r w:rsidRPr="00282E8E">
        <w:t xml:space="preserve"> retained black only if all the pixels of the convolution are black, otherwise, all </w:t>
      </w:r>
      <w:r>
        <w:t>were</w:t>
      </w:r>
      <w:r w:rsidRPr="00282E8E">
        <w:t xml:space="preserve"> made white. The images </w:t>
      </w:r>
      <w:r>
        <w:t>were</w:t>
      </w:r>
      <w:r w:rsidRPr="00282E8E">
        <w:t xml:space="preserve"> tested with three combinations of erosion and dilation iterations, the first set with no erosion and dilation, the second with 1 iteration of erosion followed by 2 iterations of dilation, and the last being 2 iterations of erosion followed by 3 iterations of dilation. Following this we fit a line for the white band on each half of the image </w:t>
      </w:r>
      <w:r w:rsidRPr="00282E8E">
        <w:lastRenderedPageBreak/>
        <w:t xml:space="preserve">using </w:t>
      </w:r>
      <w:r>
        <w:t>a</w:t>
      </w:r>
      <w:r w:rsidRPr="00282E8E">
        <w:t xml:space="preserve"> univariate linear regression model separately on each half.  </w:t>
      </w:r>
      <w:r>
        <w:t xml:space="preserve">From this the slopes of the lines and hence the angle between the lines were determined. </w:t>
      </w:r>
    </w:p>
    <w:p w14:paraId="679855ED" w14:textId="05AC3DF3" w:rsidR="00EE6382" w:rsidRPr="00E27E83" w:rsidRDefault="00887A21" w:rsidP="00887A21">
      <w:pPr>
        <w:jc w:val="both"/>
      </w:pPr>
      <w:r>
        <w:t xml:space="preserve">The myopic images were labelled using a standardized severity scale from 1 to 3, 1 representing low (&gt; ± 0.5D to ± 3.00D Spherical Equivalent), 2, Moderate (&gt;±3.00 D to ±6.00 D SE) and 3, high (&gt;±6.00 D SE) respectively. </w:t>
      </w:r>
      <w:r w:rsidR="00A269DC">
        <w:t>Table</w:t>
      </w:r>
      <w:r>
        <w:t xml:space="preserve"> 1. shows the demographic details and clinical profile of study subjects. </w:t>
      </w:r>
      <w:r>
        <w:rPr>
          <w:color w:val="1C1E29"/>
        </w:rPr>
        <w:t>The mean ± standard deviation of optic disc tilts in the emmetropic and myopic eye were</w:t>
      </w:r>
      <w:r>
        <w:t xml:space="preserve"> listed in Table 2.</w:t>
      </w:r>
      <w:r w:rsidR="00E27E83">
        <w:t xml:space="preserve"> </w:t>
      </w:r>
      <w:r w:rsidRPr="004A23D0">
        <w:t xml:space="preserve">The </w:t>
      </w:r>
      <w:r>
        <w:t xml:space="preserve">maximum (mean </w:t>
      </w:r>
      <w:r w:rsidRPr="008F5CB8">
        <w:t>±</w:t>
      </w:r>
      <w:r>
        <w:t xml:space="preserve"> SD) horizontal ODT values for both emmetropes and myopes was by method II </w:t>
      </w:r>
      <w:r w:rsidRPr="00CF6370">
        <w:t>(17.54</w:t>
      </w:r>
      <w:r w:rsidRPr="00CF6370">
        <w:sym w:font="Symbol" w:char="F0B0"/>
      </w:r>
      <w:r w:rsidRPr="00CF6370">
        <w:t xml:space="preserve"> ± 2.92 &amp; 19.11</w:t>
      </w:r>
      <w:r w:rsidRPr="00CF6370">
        <w:sym w:font="Symbol" w:char="F0B0"/>
      </w:r>
      <w:r w:rsidRPr="00CF6370">
        <w:t xml:space="preserve"> ± 12.77) and minimum ODT was by clinical expert method (14.95</w:t>
      </w:r>
      <w:r w:rsidRPr="00CF6370">
        <w:sym w:font="Symbol" w:char="F0B0"/>
      </w:r>
      <w:r w:rsidRPr="00CF6370">
        <w:t xml:space="preserve"> ± 4.20 &amp; 15.76</w:t>
      </w:r>
      <w:r w:rsidRPr="00CF6370">
        <w:sym w:font="Symbol" w:char="F0B0"/>
      </w:r>
      <w:r w:rsidRPr="00CF6370">
        <w:t xml:space="preserve"> ± 7.12).</w:t>
      </w:r>
      <w:r>
        <w:rPr>
          <w:sz w:val="16"/>
        </w:rPr>
        <w:t xml:space="preserve"> </w:t>
      </w:r>
      <w:r w:rsidRPr="00CF6370">
        <w:t>The myopes</w:t>
      </w:r>
      <w:r>
        <w:t xml:space="preserve"> showed</w:t>
      </w:r>
      <w:r w:rsidRPr="00CF6370">
        <w:t xml:space="preserve"> </w:t>
      </w:r>
      <w:r>
        <w:t>a high</w:t>
      </w:r>
      <w:r w:rsidR="00A269DC">
        <w:t>er</w:t>
      </w:r>
      <w:r>
        <w:t xml:space="preserve"> tilting angle than emmetropia in </w:t>
      </w:r>
      <w:r w:rsidRPr="00CF6370">
        <w:t>both horizontal and vertical</w:t>
      </w:r>
      <w:r w:rsidR="00A269DC">
        <w:t>. H</w:t>
      </w:r>
      <w:r>
        <w:t>owever</w:t>
      </w:r>
      <w:r w:rsidR="00A269DC">
        <w:t>,</w:t>
      </w:r>
      <w:r>
        <w:t xml:space="preserve"> it was an insignificant one (p&gt;0.05). </w:t>
      </w:r>
      <w:r w:rsidRPr="00CF6370">
        <w:rPr>
          <w:color w:val="1C1E29"/>
        </w:rPr>
        <w:t>All four methods showed a more horizontal ODT than vertical in both normal and myopia. Both vertical and horizontal ODT was higher in myopic eyes.</w:t>
      </w:r>
    </w:p>
    <w:p w14:paraId="5A2562E7" w14:textId="3C36B110" w:rsidR="00EE6382" w:rsidRDefault="00EE6382" w:rsidP="00EE6382">
      <w:pPr>
        <w:jc w:val="center"/>
        <w:rPr>
          <w:b/>
          <w:color w:val="1C1E29"/>
        </w:rPr>
      </w:pPr>
      <w:r>
        <w:rPr>
          <w:b/>
        </w:rPr>
        <w:t xml:space="preserve">Table 1. </w:t>
      </w:r>
      <w:r w:rsidR="0033198A">
        <w:rPr>
          <w:b/>
          <w:color w:val="1C1E29"/>
        </w:rPr>
        <w:t xml:space="preserve">Demographic and clinic data of </w:t>
      </w:r>
      <w:r>
        <w:rPr>
          <w:b/>
          <w:color w:val="1C1E29"/>
        </w:rPr>
        <w:t>study subjects</w:t>
      </w:r>
    </w:p>
    <w:tbl>
      <w:tblPr>
        <w:tblW w:w="4513" w:type="dxa"/>
        <w:jc w:val="center"/>
        <w:tblBorders>
          <w:top w:val="nil"/>
          <w:left w:val="nil"/>
          <w:bottom w:val="nil"/>
          <w:right w:val="nil"/>
          <w:insideH w:val="nil"/>
          <w:insideV w:val="nil"/>
        </w:tblBorders>
        <w:tblLayout w:type="fixed"/>
        <w:tblLook w:val="0400" w:firstRow="0" w:lastRow="0" w:firstColumn="0" w:lastColumn="0" w:noHBand="0" w:noVBand="1"/>
      </w:tblPr>
      <w:tblGrid>
        <w:gridCol w:w="1208"/>
        <w:gridCol w:w="379"/>
        <w:gridCol w:w="1034"/>
        <w:gridCol w:w="951"/>
        <w:gridCol w:w="941"/>
      </w:tblGrid>
      <w:tr w:rsidR="0033198A" w14:paraId="78BD30D4" w14:textId="77777777" w:rsidTr="0033198A">
        <w:trPr>
          <w:jc w:val="center"/>
        </w:trPr>
        <w:tc>
          <w:tcPr>
            <w:tcW w:w="1208" w:type="dxa"/>
            <w:tcBorders>
              <w:top w:val="single" w:sz="4" w:space="0" w:color="000000"/>
              <w:bottom w:val="single" w:sz="4" w:space="0" w:color="000000"/>
            </w:tcBorders>
          </w:tcPr>
          <w:p w14:paraId="675010C8" w14:textId="77777777" w:rsidR="0033198A" w:rsidRPr="00A01DF2" w:rsidRDefault="0033198A" w:rsidP="00A01DF2">
            <w:pPr>
              <w:pStyle w:val="NoSpacing"/>
              <w:rPr>
                <w:sz w:val="16"/>
              </w:rPr>
            </w:pPr>
            <w:r w:rsidRPr="00A01DF2">
              <w:rPr>
                <w:sz w:val="16"/>
              </w:rPr>
              <w:t>Groups</w:t>
            </w:r>
          </w:p>
        </w:tc>
        <w:tc>
          <w:tcPr>
            <w:tcW w:w="379" w:type="dxa"/>
            <w:tcBorders>
              <w:top w:val="single" w:sz="4" w:space="0" w:color="000000"/>
              <w:bottom w:val="single" w:sz="4" w:space="0" w:color="000000"/>
            </w:tcBorders>
          </w:tcPr>
          <w:p w14:paraId="05A0B2D5" w14:textId="77777777" w:rsidR="0033198A" w:rsidRPr="00A01DF2" w:rsidRDefault="0033198A" w:rsidP="00A01DF2">
            <w:pPr>
              <w:pStyle w:val="NoSpacing"/>
              <w:rPr>
                <w:sz w:val="16"/>
              </w:rPr>
            </w:pPr>
            <w:r w:rsidRPr="00A01DF2">
              <w:rPr>
                <w:sz w:val="16"/>
              </w:rPr>
              <w:t>n</w:t>
            </w:r>
          </w:p>
        </w:tc>
        <w:tc>
          <w:tcPr>
            <w:tcW w:w="1034" w:type="dxa"/>
            <w:tcBorders>
              <w:top w:val="single" w:sz="4" w:space="0" w:color="000000"/>
              <w:bottom w:val="single" w:sz="4" w:space="0" w:color="000000"/>
            </w:tcBorders>
          </w:tcPr>
          <w:p w14:paraId="00F9579F" w14:textId="77777777" w:rsidR="0033198A" w:rsidRPr="00A01DF2" w:rsidRDefault="0033198A" w:rsidP="00A01DF2">
            <w:pPr>
              <w:pStyle w:val="NoSpacing"/>
              <w:rPr>
                <w:sz w:val="16"/>
              </w:rPr>
            </w:pPr>
            <w:r w:rsidRPr="00A01DF2">
              <w:rPr>
                <w:sz w:val="16"/>
              </w:rPr>
              <w:t>Age in years</w:t>
            </w:r>
          </w:p>
        </w:tc>
        <w:tc>
          <w:tcPr>
            <w:tcW w:w="951" w:type="dxa"/>
            <w:tcBorders>
              <w:top w:val="single" w:sz="4" w:space="0" w:color="000000"/>
              <w:bottom w:val="single" w:sz="4" w:space="0" w:color="000000"/>
            </w:tcBorders>
          </w:tcPr>
          <w:p w14:paraId="78A311C0" w14:textId="77777777" w:rsidR="0033198A" w:rsidRPr="00A01DF2" w:rsidRDefault="0033198A" w:rsidP="00A01DF2">
            <w:pPr>
              <w:pStyle w:val="NoSpacing"/>
              <w:rPr>
                <w:sz w:val="16"/>
              </w:rPr>
            </w:pPr>
            <w:r w:rsidRPr="00A01DF2">
              <w:rPr>
                <w:sz w:val="16"/>
              </w:rPr>
              <w:t>SE (D)</w:t>
            </w:r>
          </w:p>
        </w:tc>
        <w:tc>
          <w:tcPr>
            <w:tcW w:w="941" w:type="dxa"/>
            <w:tcBorders>
              <w:top w:val="single" w:sz="4" w:space="0" w:color="000000"/>
              <w:bottom w:val="single" w:sz="4" w:space="0" w:color="000000"/>
            </w:tcBorders>
          </w:tcPr>
          <w:p w14:paraId="22ECEC49" w14:textId="77777777" w:rsidR="0033198A" w:rsidRPr="00A01DF2" w:rsidRDefault="0033198A" w:rsidP="00A01DF2">
            <w:pPr>
              <w:pStyle w:val="NoSpacing"/>
              <w:rPr>
                <w:sz w:val="16"/>
              </w:rPr>
            </w:pPr>
            <w:r w:rsidRPr="00A01DF2">
              <w:rPr>
                <w:sz w:val="16"/>
              </w:rPr>
              <w:t>BCVA</w:t>
            </w:r>
          </w:p>
        </w:tc>
      </w:tr>
      <w:tr w:rsidR="0033198A" w:rsidRPr="00A01DF2" w14:paraId="18AC0811" w14:textId="77777777" w:rsidTr="0033198A">
        <w:trPr>
          <w:jc w:val="center"/>
        </w:trPr>
        <w:tc>
          <w:tcPr>
            <w:tcW w:w="1208" w:type="dxa"/>
            <w:tcBorders>
              <w:top w:val="single" w:sz="4" w:space="0" w:color="000000"/>
            </w:tcBorders>
          </w:tcPr>
          <w:p w14:paraId="0D072B55" w14:textId="77777777" w:rsidR="0033198A" w:rsidRPr="00A01DF2" w:rsidRDefault="0033198A" w:rsidP="00A01DF2">
            <w:pPr>
              <w:pStyle w:val="NoSpacing"/>
              <w:rPr>
                <w:sz w:val="16"/>
              </w:rPr>
            </w:pPr>
            <w:r w:rsidRPr="00A01DF2">
              <w:rPr>
                <w:sz w:val="16"/>
              </w:rPr>
              <w:t>Emmetropia</w:t>
            </w:r>
          </w:p>
        </w:tc>
        <w:tc>
          <w:tcPr>
            <w:tcW w:w="379" w:type="dxa"/>
            <w:tcBorders>
              <w:top w:val="single" w:sz="4" w:space="0" w:color="000000"/>
            </w:tcBorders>
          </w:tcPr>
          <w:p w14:paraId="67160829" w14:textId="54AA9F7B" w:rsidR="0033198A" w:rsidRPr="00A01DF2" w:rsidRDefault="0033198A" w:rsidP="00A01DF2">
            <w:pPr>
              <w:pStyle w:val="NoSpacing"/>
              <w:rPr>
                <w:sz w:val="16"/>
              </w:rPr>
            </w:pPr>
            <w:r>
              <w:rPr>
                <w:sz w:val="16"/>
              </w:rPr>
              <w:t>18</w:t>
            </w:r>
          </w:p>
        </w:tc>
        <w:tc>
          <w:tcPr>
            <w:tcW w:w="1034" w:type="dxa"/>
            <w:tcBorders>
              <w:top w:val="single" w:sz="4" w:space="0" w:color="000000"/>
            </w:tcBorders>
          </w:tcPr>
          <w:p w14:paraId="5343F425" w14:textId="1B09FFA1" w:rsidR="0033198A" w:rsidRPr="00A01DF2" w:rsidRDefault="0033198A" w:rsidP="00A01DF2">
            <w:pPr>
              <w:pStyle w:val="NoSpacing"/>
              <w:rPr>
                <w:sz w:val="16"/>
              </w:rPr>
            </w:pPr>
            <w:r>
              <w:rPr>
                <w:sz w:val="16"/>
              </w:rPr>
              <w:t>29</w:t>
            </w:r>
            <w:r w:rsidRPr="00A01DF2">
              <w:rPr>
                <w:sz w:val="16"/>
              </w:rPr>
              <w:t>.</w:t>
            </w:r>
            <w:r>
              <w:rPr>
                <w:sz w:val="16"/>
              </w:rPr>
              <w:t>7</w:t>
            </w:r>
            <w:r w:rsidRPr="00A01DF2">
              <w:rPr>
                <w:sz w:val="16"/>
              </w:rPr>
              <w:t>8±15.</w:t>
            </w:r>
            <w:r>
              <w:rPr>
                <w:sz w:val="16"/>
              </w:rPr>
              <w:t>24</w:t>
            </w:r>
          </w:p>
        </w:tc>
        <w:tc>
          <w:tcPr>
            <w:tcW w:w="951" w:type="dxa"/>
            <w:tcBorders>
              <w:top w:val="single" w:sz="4" w:space="0" w:color="000000"/>
            </w:tcBorders>
          </w:tcPr>
          <w:p w14:paraId="70FA14D1" w14:textId="1CBCE27A" w:rsidR="0033198A" w:rsidRPr="00A01DF2" w:rsidRDefault="0033198A" w:rsidP="00A01DF2">
            <w:pPr>
              <w:pStyle w:val="NoSpacing"/>
              <w:rPr>
                <w:sz w:val="16"/>
              </w:rPr>
            </w:pPr>
            <w:r w:rsidRPr="00A01DF2">
              <w:rPr>
                <w:sz w:val="16"/>
              </w:rPr>
              <w:t>-0.03±0.1</w:t>
            </w:r>
            <w:r>
              <w:rPr>
                <w:sz w:val="16"/>
              </w:rPr>
              <w:t>6</w:t>
            </w:r>
          </w:p>
        </w:tc>
        <w:tc>
          <w:tcPr>
            <w:tcW w:w="941" w:type="dxa"/>
            <w:tcBorders>
              <w:top w:val="single" w:sz="4" w:space="0" w:color="000000"/>
            </w:tcBorders>
          </w:tcPr>
          <w:p w14:paraId="44FD8CE9" w14:textId="7675AF40" w:rsidR="0033198A" w:rsidRPr="00A01DF2" w:rsidRDefault="0033198A" w:rsidP="00A01DF2">
            <w:pPr>
              <w:pStyle w:val="NoSpacing"/>
              <w:rPr>
                <w:sz w:val="16"/>
              </w:rPr>
            </w:pPr>
            <w:r w:rsidRPr="00A01DF2">
              <w:rPr>
                <w:sz w:val="16"/>
              </w:rPr>
              <w:t>0.0</w:t>
            </w:r>
            <w:r>
              <w:rPr>
                <w:sz w:val="16"/>
              </w:rPr>
              <w:t>1</w:t>
            </w:r>
            <w:r w:rsidRPr="00A01DF2">
              <w:rPr>
                <w:sz w:val="16"/>
              </w:rPr>
              <w:t>±0.0</w:t>
            </w:r>
            <w:r>
              <w:rPr>
                <w:sz w:val="16"/>
              </w:rPr>
              <w:t>2</w:t>
            </w:r>
            <w:r w:rsidRPr="00A01DF2">
              <w:rPr>
                <w:sz w:val="16"/>
              </w:rPr>
              <w:t xml:space="preserve"> </w:t>
            </w:r>
          </w:p>
        </w:tc>
      </w:tr>
      <w:tr w:rsidR="0033198A" w:rsidRPr="00A01DF2" w14:paraId="65C6EF6F" w14:textId="77777777" w:rsidTr="0033198A">
        <w:trPr>
          <w:jc w:val="center"/>
        </w:trPr>
        <w:tc>
          <w:tcPr>
            <w:tcW w:w="1208" w:type="dxa"/>
          </w:tcPr>
          <w:p w14:paraId="2FB376A2" w14:textId="77777777" w:rsidR="0033198A" w:rsidRPr="00A01DF2" w:rsidRDefault="0033198A" w:rsidP="00A01DF2">
            <w:pPr>
              <w:pStyle w:val="NoSpacing"/>
              <w:rPr>
                <w:sz w:val="16"/>
              </w:rPr>
            </w:pPr>
            <w:r w:rsidRPr="00A01DF2">
              <w:rPr>
                <w:sz w:val="16"/>
              </w:rPr>
              <w:t>Myopia</w:t>
            </w:r>
          </w:p>
        </w:tc>
        <w:tc>
          <w:tcPr>
            <w:tcW w:w="379" w:type="dxa"/>
          </w:tcPr>
          <w:p w14:paraId="12DAFF25" w14:textId="50103A44" w:rsidR="0033198A" w:rsidRPr="00A01DF2" w:rsidRDefault="0033198A" w:rsidP="00A01DF2">
            <w:pPr>
              <w:pStyle w:val="NoSpacing"/>
              <w:rPr>
                <w:sz w:val="16"/>
              </w:rPr>
            </w:pPr>
            <w:r>
              <w:rPr>
                <w:sz w:val="16"/>
              </w:rPr>
              <w:t>25</w:t>
            </w:r>
          </w:p>
        </w:tc>
        <w:tc>
          <w:tcPr>
            <w:tcW w:w="1034" w:type="dxa"/>
          </w:tcPr>
          <w:p w14:paraId="767ADD32" w14:textId="5BEFC46C" w:rsidR="0033198A" w:rsidRPr="00A01DF2" w:rsidRDefault="0033198A" w:rsidP="00A01DF2">
            <w:pPr>
              <w:pStyle w:val="NoSpacing"/>
              <w:rPr>
                <w:sz w:val="16"/>
              </w:rPr>
            </w:pPr>
            <w:r w:rsidRPr="00A01DF2">
              <w:rPr>
                <w:sz w:val="16"/>
              </w:rPr>
              <w:t>25.</w:t>
            </w:r>
            <w:r>
              <w:rPr>
                <w:sz w:val="16"/>
              </w:rPr>
              <w:t>28</w:t>
            </w:r>
            <w:r w:rsidRPr="00A01DF2">
              <w:rPr>
                <w:sz w:val="16"/>
              </w:rPr>
              <w:t>±</w:t>
            </w:r>
            <w:r>
              <w:rPr>
                <w:sz w:val="16"/>
              </w:rPr>
              <w:t>3</w:t>
            </w:r>
            <w:r w:rsidRPr="00A01DF2">
              <w:rPr>
                <w:sz w:val="16"/>
              </w:rPr>
              <w:t>.</w:t>
            </w:r>
            <w:r>
              <w:rPr>
                <w:sz w:val="16"/>
              </w:rPr>
              <w:t>74</w:t>
            </w:r>
          </w:p>
        </w:tc>
        <w:tc>
          <w:tcPr>
            <w:tcW w:w="951" w:type="dxa"/>
          </w:tcPr>
          <w:p w14:paraId="6284AE30" w14:textId="17AA608D" w:rsidR="0033198A" w:rsidRPr="00A01DF2" w:rsidRDefault="0033198A" w:rsidP="00A01DF2">
            <w:pPr>
              <w:pStyle w:val="NoSpacing"/>
              <w:rPr>
                <w:sz w:val="16"/>
              </w:rPr>
            </w:pPr>
            <w:r w:rsidRPr="00A01DF2">
              <w:rPr>
                <w:sz w:val="16"/>
              </w:rPr>
              <w:t>-</w:t>
            </w:r>
            <w:r>
              <w:rPr>
                <w:sz w:val="16"/>
              </w:rPr>
              <w:t>4</w:t>
            </w:r>
            <w:r w:rsidRPr="00A01DF2">
              <w:rPr>
                <w:sz w:val="16"/>
              </w:rPr>
              <w:t>.</w:t>
            </w:r>
            <w:r>
              <w:rPr>
                <w:sz w:val="16"/>
              </w:rPr>
              <w:t>59</w:t>
            </w:r>
            <w:r w:rsidRPr="00A01DF2">
              <w:rPr>
                <w:sz w:val="16"/>
              </w:rPr>
              <w:t>±</w:t>
            </w:r>
            <w:r>
              <w:rPr>
                <w:sz w:val="16"/>
              </w:rPr>
              <w:t>2.06</w:t>
            </w:r>
          </w:p>
        </w:tc>
        <w:tc>
          <w:tcPr>
            <w:tcW w:w="941" w:type="dxa"/>
          </w:tcPr>
          <w:p w14:paraId="171B5E5A" w14:textId="40DDE6C1" w:rsidR="0033198A" w:rsidRPr="00A01DF2" w:rsidRDefault="0033198A" w:rsidP="00A01DF2">
            <w:pPr>
              <w:pStyle w:val="NoSpacing"/>
              <w:rPr>
                <w:sz w:val="16"/>
              </w:rPr>
            </w:pPr>
            <w:r w:rsidRPr="00A01DF2">
              <w:rPr>
                <w:sz w:val="16"/>
              </w:rPr>
              <w:t>-0.0</w:t>
            </w:r>
            <w:r>
              <w:rPr>
                <w:sz w:val="16"/>
              </w:rPr>
              <w:t>1</w:t>
            </w:r>
            <w:r w:rsidRPr="00A01DF2">
              <w:rPr>
                <w:sz w:val="16"/>
              </w:rPr>
              <w:t>±0.0</w:t>
            </w:r>
            <w:r>
              <w:rPr>
                <w:sz w:val="16"/>
              </w:rPr>
              <w:t>6</w:t>
            </w:r>
          </w:p>
        </w:tc>
      </w:tr>
      <w:tr w:rsidR="0033198A" w:rsidRPr="00A01DF2" w14:paraId="3976FCAB" w14:textId="77777777" w:rsidTr="0033198A">
        <w:trPr>
          <w:jc w:val="center"/>
        </w:trPr>
        <w:tc>
          <w:tcPr>
            <w:tcW w:w="1208" w:type="dxa"/>
            <w:tcBorders>
              <w:bottom w:val="single" w:sz="4" w:space="0" w:color="000000"/>
            </w:tcBorders>
          </w:tcPr>
          <w:p w14:paraId="1BDC5443" w14:textId="22719B3C" w:rsidR="0033198A" w:rsidRPr="00A01DF2" w:rsidRDefault="0033198A" w:rsidP="00A01DF2">
            <w:pPr>
              <w:pStyle w:val="NoSpacing"/>
              <w:rPr>
                <w:i/>
                <w:sz w:val="16"/>
              </w:rPr>
            </w:pPr>
            <w:r w:rsidRPr="00A01DF2">
              <w:rPr>
                <w:i/>
                <w:sz w:val="16"/>
              </w:rPr>
              <w:t>p-Value</w:t>
            </w:r>
            <w:r w:rsidR="009E3489">
              <w:rPr>
                <w:i/>
                <w:sz w:val="16"/>
              </w:rPr>
              <w:t>*</w:t>
            </w:r>
            <w:r w:rsidRPr="00A01DF2">
              <w:rPr>
                <w:i/>
                <w:sz w:val="16"/>
              </w:rPr>
              <w:t xml:space="preserve"> </w:t>
            </w:r>
          </w:p>
        </w:tc>
        <w:tc>
          <w:tcPr>
            <w:tcW w:w="379" w:type="dxa"/>
            <w:tcBorders>
              <w:bottom w:val="single" w:sz="4" w:space="0" w:color="000000"/>
            </w:tcBorders>
          </w:tcPr>
          <w:p w14:paraId="6E994722" w14:textId="77777777" w:rsidR="0033198A" w:rsidRPr="00A01DF2" w:rsidRDefault="0033198A" w:rsidP="00A01DF2">
            <w:pPr>
              <w:pStyle w:val="NoSpacing"/>
              <w:rPr>
                <w:i/>
                <w:sz w:val="16"/>
              </w:rPr>
            </w:pPr>
          </w:p>
        </w:tc>
        <w:tc>
          <w:tcPr>
            <w:tcW w:w="1034" w:type="dxa"/>
            <w:tcBorders>
              <w:bottom w:val="single" w:sz="4" w:space="0" w:color="000000"/>
            </w:tcBorders>
          </w:tcPr>
          <w:p w14:paraId="094AD76B" w14:textId="2B381B07" w:rsidR="0033198A" w:rsidRPr="00A01DF2" w:rsidRDefault="0033198A" w:rsidP="00A01DF2">
            <w:pPr>
              <w:pStyle w:val="NoSpacing"/>
              <w:rPr>
                <w:i/>
                <w:sz w:val="16"/>
              </w:rPr>
            </w:pPr>
            <w:r w:rsidRPr="00A01DF2">
              <w:rPr>
                <w:i/>
                <w:sz w:val="16"/>
              </w:rPr>
              <w:t>0.</w:t>
            </w:r>
            <w:r w:rsidR="007351BC">
              <w:rPr>
                <w:i/>
                <w:sz w:val="16"/>
              </w:rPr>
              <w:t>18</w:t>
            </w:r>
            <w:r w:rsidR="009E3489">
              <w:rPr>
                <w:i/>
                <w:sz w:val="16"/>
              </w:rPr>
              <w:t>6</w:t>
            </w:r>
          </w:p>
        </w:tc>
        <w:tc>
          <w:tcPr>
            <w:tcW w:w="951" w:type="dxa"/>
            <w:tcBorders>
              <w:bottom w:val="single" w:sz="4" w:space="0" w:color="000000"/>
            </w:tcBorders>
          </w:tcPr>
          <w:p w14:paraId="1736E549" w14:textId="77777777" w:rsidR="0033198A" w:rsidRPr="00A01DF2" w:rsidRDefault="0033198A" w:rsidP="00A01DF2">
            <w:pPr>
              <w:pStyle w:val="NoSpacing"/>
              <w:rPr>
                <w:i/>
                <w:sz w:val="16"/>
              </w:rPr>
            </w:pPr>
            <w:r w:rsidRPr="00A01DF2">
              <w:rPr>
                <w:i/>
                <w:sz w:val="16"/>
              </w:rPr>
              <w:t>0.000</w:t>
            </w:r>
          </w:p>
        </w:tc>
        <w:tc>
          <w:tcPr>
            <w:tcW w:w="941" w:type="dxa"/>
            <w:tcBorders>
              <w:bottom w:val="single" w:sz="4" w:space="0" w:color="000000"/>
            </w:tcBorders>
          </w:tcPr>
          <w:p w14:paraId="3006EAF3" w14:textId="6E764592" w:rsidR="0033198A" w:rsidRPr="00A01DF2" w:rsidRDefault="0033198A" w:rsidP="00A01DF2">
            <w:pPr>
              <w:pStyle w:val="NoSpacing"/>
              <w:rPr>
                <w:i/>
                <w:sz w:val="16"/>
              </w:rPr>
            </w:pPr>
            <w:r w:rsidRPr="00A01DF2">
              <w:rPr>
                <w:i/>
                <w:sz w:val="16"/>
              </w:rPr>
              <w:t>0.</w:t>
            </w:r>
            <w:r w:rsidR="009E3489">
              <w:rPr>
                <w:i/>
                <w:sz w:val="16"/>
              </w:rPr>
              <w:t>118</w:t>
            </w:r>
          </w:p>
        </w:tc>
      </w:tr>
    </w:tbl>
    <w:p w14:paraId="25AB41CC" w14:textId="1EC1EF94" w:rsidR="00EE6382" w:rsidRPr="00887A21" w:rsidRDefault="00EE6382" w:rsidP="00887A21">
      <w:pPr>
        <w:jc w:val="center"/>
        <w:rPr>
          <w:sz w:val="16"/>
          <w:szCs w:val="16"/>
        </w:rPr>
      </w:pPr>
      <w:r>
        <w:rPr>
          <w:sz w:val="16"/>
          <w:szCs w:val="16"/>
        </w:rPr>
        <w:t>SE- spherical equivalent, BCVA – Best Corrected Visual Acuity</w:t>
      </w:r>
      <w:r w:rsidR="009E3489">
        <w:rPr>
          <w:sz w:val="16"/>
          <w:szCs w:val="16"/>
        </w:rPr>
        <w:t xml:space="preserve"> *Mann-Whitney U test</w:t>
      </w:r>
    </w:p>
    <w:p w14:paraId="3607E38F" w14:textId="5E0CEB72" w:rsidR="00EE6382" w:rsidRPr="00A269DC" w:rsidRDefault="00EE6382" w:rsidP="00EE6382">
      <w:pPr>
        <w:jc w:val="center"/>
        <w:rPr>
          <w:b/>
          <w:color w:val="1C1E29"/>
          <w:sz w:val="24"/>
        </w:rPr>
      </w:pPr>
      <w:r w:rsidRPr="00A269DC">
        <w:rPr>
          <w:b/>
          <w:sz w:val="21"/>
          <w:szCs w:val="20"/>
        </w:rPr>
        <w:t xml:space="preserve">Table 2: </w:t>
      </w:r>
      <w:r w:rsidR="00A269DC" w:rsidRPr="00A269DC">
        <w:rPr>
          <w:b/>
          <w:sz w:val="21"/>
          <w:szCs w:val="20"/>
        </w:rPr>
        <w:t>A comparisons of optic disc tilting angle between emmetropic and myopic eyes</w:t>
      </w:r>
    </w:p>
    <w:tbl>
      <w:tblPr>
        <w:tblW w:w="8080" w:type="dxa"/>
        <w:jc w:val="center"/>
        <w:tblLayout w:type="fixed"/>
        <w:tblLook w:val="0400" w:firstRow="0" w:lastRow="0" w:firstColumn="0" w:lastColumn="0" w:noHBand="0" w:noVBand="1"/>
      </w:tblPr>
      <w:tblGrid>
        <w:gridCol w:w="2126"/>
        <w:gridCol w:w="1555"/>
        <w:gridCol w:w="1276"/>
        <w:gridCol w:w="1417"/>
        <w:gridCol w:w="1706"/>
      </w:tblGrid>
      <w:tr w:rsidR="00627F6A" w14:paraId="118958CE" w14:textId="77777777" w:rsidTr="00A52257">
        <w:trPr>
          <w:trHeight w:val="48"/>
          <w:jc w:val="center"/>
        </w:trPr>
        <w:tc>
          <w:tcPr>
            <w:tcW w:w="2126" w:type="dxa"/>
            <w:tcBorders>
              <w:top w:val="single" w:sz="4" w:space="0" w:color="auto"/>
              <w:bottom w:val="single" w:sz="4" w:space="0" w:color="auto"/>
            </w:tcBorders>
          </w:tcPr>
          <w:p w14:paraId="6532F455" w14:textId="72506CE4" w:rsidR="00627F6A" w:rsidRPr="002C4087" w:rsidRDefault="00627F6A" w:rsidP="008F5CB8">
            <w:pPr>
              <w:pStyle w:val="NoSpacing"/>
              <w:rPr>
                <w:b/>
                <w:sz w:val="16"/>
              </w:rPr>
            </w:pPr>
          </w:p>
        </w:tc>
        <w:tc>
          <w:tcPr>
            <w:tcW w:w="1555" w:type="dxa"/>
            <w:tcBorders>
              <w:top w:val="single" w:sz="4" w:space="0" w:color="auto"/>
              <w:bottom w:val="single" w:sz="4" w:space="0" w:color="auto"/>
            </w:tcBorders>
          </w:tcPr>
          <w:p w14:paraId="6ED45551" w14:textId="77777777" w:rsidR="00627F6A" w:rsidRPr="002C4087" w:rsidRDefault="00627F6A" w:rsidP="008F5CB8">
            <w:pPr>
              <w:pStyle w:val="NoSpacing"/>
              <w:rPr>
                <w:b/>
                <w:sz w:val="16"/>
              </w:rPr>
            </w:pPr>
            <w:r w:rsidRPr="002C4087">
              <w:rPr>
                <w:b/>
                <w:sz w:val="16"/>
              </w:rPr>
              <w:t>Method I</w:t>
            </w:r>
          </w:p>
        </w:tc>
        <w:tc>
          <w:tcPr>
            <w:tcW w:w="1276" w:type="dxa"/>
            <w:tcBorders>
              <w:top w:val="single" w:sz="4" w:space="0" w:color="auto"/>
              <w:bottom w:val="single" w:sz="4" w:space="0" w:color="auto"/>
            </w:tcBorders>
          </w:tcPr>
          <w:p w14:paraId="62D9E89A" w14:textId="77777777" w:rsidR="00627F6A" w:rsidRPr="002C4087" w:rsidRDefault="00627F6A" w:rsidP="008F5CB8">
            <w:pPr>
              <w:pStyle w:val="NoSpacing"/>
              <w:rPr>
                <w:b/>
                <w:sz w:val="16"/>
              </w:rPr>
            </w:pPr>
            <w:r w:rsidRPr="002C4087">
              <w:rPr>
                <w:b/>
                <w:sz w:val="16"/>
              </w:rPr>
              <w:t>Method II</w:t>
            </w:r>
          </w:p>
        </w:tc>
        <w:tc>
          <w:tcPr>
            <w:tcW w:w="1417" w:type="dxa"/>
            <w:tcBorders>
              <w:top w:val="single" w:sz="4" w:space="0" w:color="auto"/>
              <w:bottom w:val="single" w:sz="4" w:space="0" w:color="auto"/>
            </w:tcBorders>
          </w:tcPr>
          <w:p w14:paraId="5CBD569A" w14:textId="77777777" w:rsidR="00627F6A" w:rsidRPr="002C4087" w:rsidRDefault="00627F6A" w:rsidP="008F5CB8">
            <w:pPr>
              <w:pStyle w:val="NoSpacing"/>
              <w:rPr>
                <w:b/>
                <w:sz w:val="16"/>
              </w:rPr>
            </w:pPr>
            <w:r w:rsidRPr="002C4087">
              <w:rPr>
                <w:b/>
                <w:sz w:val="16"/>
              </w:rPr>
              <w:t>Method III</w:t>
            </w:r>
          </w:p>
        </w:tc>
        <w:tc>
          <w:tcPr>
            <w:tcW w:w="1706" w:type="dxa"/>
            <w:tcBorders>
              <w:top w:val="single" w:sz="4" w:space="0" w:color="auto"/>
              <w:bottom w:val="single" w:sz="4" w:space="0" w:color="auto"/>
            </w:tcBorders>
          </w:tcPr>
          <w:p w14:paraId="66B0390B" w14:textId="77777777" w:rsidR="00627F6A" w:rsidRPr="002C4087" w:rsidRDefault="00627F6A" w:rsidP="008F5CB8">
            <w:pPr>
              <w:pStyle w:val="NoSpacing"/>
              <w:rPr>
                <w:b/>
                <w:sz w:val="16"/>
              </w:rPr>
            </w:pPr>
            <w:r w:rsidRPr="002C4087">
              <w:rPr>
                <w:b/>
                <w:sz w:val="16"/>
              </w:rPr>
              <w:t>CE Method</w:t>
            </w:r>
          </w:p>
        </w:tc>
      </w:tr>
      <w:tr w:rsidR="00627F6A" w14:paraId="1F3D5B49" w14:textId="77777777" w:rsidTr="00A52257">
        <w:trPr>
          <w:trHeight w:val="70"/>
          <w:jc w:val="center"/>
        </w:trPr>
        <w:tc>
          <w:tcPr>
            <w:tcW w:w="2126" w:type="dxa"/>
            <w:tcBorders>
              <w:top w:val="single" w:sz="4" w:space="0" w:color="auto"/>
              <w:bottom w:val="single" w:sz="4" w:space="0" w:color="auto"/>
            </w:tcBorders>
          </w:tcPr>
          <w:p w14:paraId="5D208956" w14:textId="77777777" w:rsidR="00627F6A" w:rsidRPr="00B83E0D" w:rsidRDefault="00627F6A" w:rsidP="008F5CB8">
            <w:pPr>
              <w:pStyle w:val="NoSpacing"/>
              <w:rPr>
                <w:b/>
                <w:i/>
                <w:sz w:val="16"/>
              </w:rPr>
            </w:pPr>
            <w:r w:rsidRPr="00B83E0D">
              <w:rPr>
                <w:b/>
                <w:i/>
                <w:sz w:val="16"/>
              </w:rPr>
              <w:t xml:space="preserve">Horizontal Optic Disc Tilt </w:t>
            </w:r>
          </w:p>
        </w:tc>
        <w:tc>
          <w:tcPr>
            <w:tcW w:w="1555" w:type="dxa"/>
            <w:tcBorders>
              <w:top w:val="single" w:sz="4" w:space="0" w:color="auto"/>
              <w:bottom w:val="single" w:sz="4" w:space="0" w:color="auto"/>
            </w:tcBorders>
          </w:tcPr>
          <w:p w14:paraId="4441926A" w14:textId="77777777" w:rsidR="00627F6A" w:rsidRDefault="00627F6A" w:rsidP="008F5CB8">
            <w:pPr>
              <w:pStyle w:val="NoSpacing"/>
              <w:rPr>
                <w:sz w:val="16"/>
              </w:rPr>
            </w:pPr>
          </w:p>
        </w:tc>
        <w:tc>
          <w:tcPr>
            <w:tcW w:w="1276" w:type="dxa"/>
            <w:tcBorders>
              <w:top w:val="single" w:sz="4" w:space="0" w:color="auto"/>
              <w:bottom w:val="single" w:sz="4" w:space="0" w:color="auto"/>
            </w:tcBorders>
          </w:tcPr>
          <w:p w14:paraId="229AD51C" w14:textId="77777777" w:rsidR="00627F6A" w:rsidRPr="00A01DF2" w:rsidRDefault="00627F6A" w:rsidP="008F5CB8">
            <w:pPr>
              <w:pStyle w:val="NoSpacing"/>
              <w:rPr>
                <w:sz w:val="16"/>
              </w:rPr>
            </w:pPr>
          </w:p>
        </w:tc>
        <w:tc>
          <w:tcPr>
            <w:tcW w:w="1417" w:type="dxa"/>
            <w:tcBorders>
              <w:top w:val="single" w:sz="4" w:space="0" w:color="auto"/>
              <w:bottom w:val="single" w:sz="4" w:space="0" w:color="auto"/>
            </w:tcBorders>
          </w:tcPr>
          <w:p w14:paraId="28EE5C87" w14:textId="77777777" w:rsidR="00627F6A" w:rsidRPr="00A01DF2" w:rsidRDefault="00627F6A" w:rsidP="008F5CB8">
            <w:pPr>
              <w:pStyle w:val="NoSpacing"/>
              <w:rPr>
                <w:sz w:val="16"/>
              </w:rPr>
            </w:pPr>
          </w:p>
        </w:tc>
        <w:tc>
          <w:tcPr>
            <w:tcW w:w="1706" w:type="dxa"/>
            <w:tcBorders>
              <w:top w:val="single" w:sz="4" w:space="0" w:color="auto"/>
              <w:bottom w:val="single" w:sz="4" w:space="0" w:color="auto"/>
            </w:tcBorders>
          </w:tcPr>
          <w:p w14:paraId="5B607A36" w14:textId="77777777" w:rsidR="00627F6A" w:rsidRPr="00A01DF2" w:rsidRDefault="00627F6A" w:rsidP="008F5CB8">
            <w:pPr>
              <w:pStyle w:val="NoSpacing"/>
              <w:rPr>
                <w:sz w:val="16"/>
              </w:rPr>
            </w:pPr>
          </w:p>
        </w:tc>
      </w:tr>
      <w:tr w:rsidR="00627F6A" w14:paraId="2B303FA9" w14:textId="77777777" w:rsidTr="00A52257">
        <w:trPr>
          <w:trHeight w:val="70"/>
          <w:jc w:val="center"/>
        </w:trPr>
        <w:tc>
          <w:tcPr>
            <w:tcW w:w="2126" w:type="dxa"/>
            <w:tcBorders>
              <w:top w:val="single" w:sz="4" w:space="0" w:color="auto"/>
            </w:tcBorders>
          </w:tcPr>
          <w:p w14:paraId="0FE3C80E" w14:textId="77777777" w:rsidR="00627F6A" w:rsidRPr="00A01DF2" w:rsidRDefault="00627F6A" w:rsidP="008F5CB8">
            <w:pPr>
              <w:pStyle w:val="NoSpacing"/>
              <w:rPr>
                <w:sz w:val="16"/>
              </w:rPr>
            </w:pPr>
            <w:r w:rsidRPr="00A01DF2">
              <w:rPr>
                <w:sz w:val="16"/>
              </w:rPr>
              <w:t>Emmetropia</w:t>
            </w:r>
          </w:p>
        </w:tc>
        <w:tc>
          <w:tcPr>
            <w:tcW w:w="1555" w:type="dxa"/>
            <w:tcBorders>
              <w:top w:val="single" w:sz="4" w:space="0" w:color="auto"/>
            </w:tcBorders>
          </w:tcPr>
          <w:p w14:paraId="307E6DF8" w14:textId="77777777" w:rsidR="00627F6A" w:rsidRPr="00A01DF2" w:rsidRDefault="00627F6A" w:rsidP="008F5CB8">
            <w:pPr>
              <w:pStyle w:val="NoSpacing"/>
              <w:rPr>
                <w:sz w:val="16"/>
              </w:rPr>
            </w:pPr>
            <w:r>
              <w:rPr>
                <w:sz w:val="16"/>
              </w:rPr>
              <w:t>15.95</w:t>
            </w:r>
            <w:r>
              <w:sym w:font="Symbol" w:char="F0B0"/>
            </w:r>
            <w:r w:rsidRPr="00A01DF2">
              <w:rPr>
                <w:sz w:val="16"/>
              </w:rPr>
              <w:t xml:space="preserve"> ± </w:t>
            </w:r>
            <w:r>
              <w:rPr>
                <w:sz w:val="16"/>
              </w:rPr>
              <w:t>5.97</w:t>
            </w:r>
            <w:r w:rsidRPr="00A01DF2">
              <w:rPr>
                <w:sz w:val="16"/>
              </w:rPr>
              <w:t xml:space="preserve"> </w:t>
            </w:r>
          </w:p>
        </w:tc>
        <w:tc>
          <w:tcPr>
            <w:tcW w:w="1276" w:type="dxa"/>
            <w:tcBorders>
              <w:top w:val="single" w:sz="4" w:space="0" w:color="auto"/>
            </w:tcBorders>
          </w:tcPr>
          <w:p w14:paraId="7D4D955D" w14:textId="77777777" w:rsidR="00627F6A" w:rsidRPr="00A01DF2" w:rsidRDefault="00627F6A" w:rsidP="008F5CB8">
            <w:pPr>
              <w:pStyle w:val="NoSpacing"/>
              <w:rPr>
                <w:sz w:val="16"/>
              </w:rPr>
            </w:pPr>
            <w:r>
              <w:rPr>
                <w:sz w:val="16"/>
              </w:rPr>
              <w:t>17.54</w:t>
            </w:r>
            <w:r>
              <w:sym w:font="Symbol" w:char="F0B0"/>
            </w:r>
            <w:r>
              <w:rPr>
                <w:sz w:val="16"/>
              </w:rPr>
              <w:t xml:space="preserve"> </w:t>
            </w:r>
            <w:r w:rsidRPr="00A01DF2">
              <w:rPr>
                <w:sz w:val="16"/>
              </w:rPr>
              <w:t>±</w:t>
            </w:r>
            <w:r>
              <w:rPr>
                <w:sz w:val="16"/>
              </w:rPr>
              <w:t xml:space="preserve"> 2.92</w:t>
            </w:r>
          </w:p>
        </w:tc>
        <w:tc>
          <w:tcPr>
            <w:tcW w:w="1417" w:type="dxa"/>
            <w:tcBorders>
              <w:top w:val="single" w:sz="4" w:space="0" w:color="auto"/>
            </w:tcBorders>
          </w:tcPr>
          <w:p w14:paraId="2467FB8F" w14:textId="77777777" w:rsidR="00627F6A" w:rsidRPr="00A01DF2" w:rsidRDefault="00627F6A" w:rsidP="008F5CB8">
            <w:pPr>
              <w:pStyle w:val="NoSpacing"/>
              <w:rPr>
                <w:sz w:val="16"/>
              </w:rPr>
            </w:pPr>
            <w:r>
              <w:rPr>
                <w:sz w:val="16"/>
              </w:rPr>
              <w:t>16.58</w:t>
            </w:r>
            <w:r>
              <w:sym w:font="Symbol" w:char="F0B0"/>
            </w:r>
            <w:r>
              <w:rPr>
                <w:sz w:val="16"/>
              </w:rPr>
              <w:t xml:space="preserve"> </w:t>
            </w:r>
            <w:r w:rsidRPr="00A01DF2">
              <w:rPr>
                <w:sz w:val="16"/>
              </w:rPr>
              <w:t>±</w:t>
            </w:r>
            <w:r>
              <w:rPr>
                <w:sz w:val="16"/>
              </w:rPr>
              <w:t xml:space="preserve"> 2.81</w:t>
            </w:r>
          </w:p>
        </w:tc>
        <w:tc>
          <w:tcPr>
            <w:tcW w:w="1706" w:type="dxa"/>
            <w:tcBorders>
              <w:top w:val="single" w:sz="4" w:space="0" w:color="auto"/>
            </w:tcBorders>
          </w:tcPr>
          <w:p w14:paraId="442A70A5" w14:textId="77777777" w:rsidR="00627F6A" w:rsidRPr="00A01DF2" w:rsidRDefault="00627F6A" w:rsidP="008F5CB8">
            <w:pPr>
              <w:pStyle w:val="NoSpacing"/>
              <w:rPr>
                <w:sz w:val="16"/>
              </w:rPr>
            </w:pPr>
            <w:r>
              <w:rPr>
                <w:sz w:val="16"/>
              </w:rPr>
              <w:t>14.95</w:t>
            </w:r>
            <w:r>
              <w:sym w:font="Symbol" w:char="F0B0"/>
            </w:r>
            <w:r>
              <w:rPr>
                <w:sz w:val="16"/>
              </w:rPr>
              <w:t xml:space="preserve"> </w:t>
            </w:r>
            <w:r w:rsidRPr="00A01DF2">
              <w:rPr>
                <w:sz w:val="16"/>
              </w:rPr>
              <w:t>±</w:t>
            </w:r>
            <w:r>
              <w:rPr>
                <w:sz w:val="16"/>
              </w:rPr>
              <w:t xml:space="preserve"> 4.20</w:t>
            </w:r>
          </w:p>
        </w:tc>
      </w:tr>
      <w:tr w:rsidR="00627F6A" w14:paraId="46AD3E81" w14:textId="77777777" w:rsidTr="00B83E0D">
        <w:trPr>
          <w:trHeight w:val="80"/>
          <w:jc w:val="center"/>
        </w:trPr>
        <w:tc>
          <w:tcPr>
            <w:tcW w:w="2126" w:type="dxa"/>
          </w:tcPr>
          <w:p w14:paraId="75070870" w14:textId="77777777" w:rsidR="00627F6A" w:rsidRPr="00A01DF2" w:rsidRDefault="00627F6A" w:rsidP="008F5CB8">
            <w:pPr>
              <w:pStyle w:val="NoSpacing"/>
              <w:rPr>
                <w:sz w:val="16"/>
              </w:rPr>
            </w:pPr>
            <w:r>
              <w:rPr>
                <w:sz w:val="16"/>
              </w:rPr>
              <w:t>Myopia</w:t>
            </w:r>
          </w:p>
        </w:tc>
        <w:tc>
          <w:tcPr>
            <w:tcW w:w="1555" w:type="dxa"/>
          </w:tcPr>
          <w:p w14:paraId="29DBACEC" w14:textId="77777777" w:rsidR="00627F6A" w:rsidRPr="00A01DF2" w:rsidRDefault="00627F6A" w:rsidP="008F5CB8">
            <w:pPr>
              <w:pStyle w:val="NoSpacing"/>
              <w:rPr>
                <w:sz w:val="16"/>
              </w:rPr>
            </w:pPr>
            <w:r>
              <w:rPr>
                <w:sz w:val="16"/>
              </w:rPr>
              <w:t>17.57</w:t>
            </w:r>
            <w:r>
              <w:sym w:font="Symbol" w:char="F0B0"/>
            </w:r>
            <w:r w:rsidRPr="00A01DF2">
              <w:rPr>
                <w:sz w:val="16"/>
              </w:rPr>
              <w:t xml:space="preserve"> ± </w:t>
            </w:r>
            <w:r>
              <w:rPr>
                <w:sz w:val="16"/>
              </w:rPr>
              <w:t>12.44</w:t>
            </w:r>
            <w:r w:rsidRPr="00A01DF2">
              <w:rPr>
                <w:sz w:val="16"/>
              </w:rPr>
              <w:t xml:space="preserve"> </w:t>
            </w:r>
          </w:p>
        </w:tc>
        <w:tc>
          <w:tcPr>
            <w:tcW w:w="1276" w:type="dxa"/>
          </w:tcPr>
          <w:p w14:paraId="6B859380" w14:textId="77777777" w:rsidR="00627F6A" w:rsidRPr="00A01DF2" w:rsidRDefault="00627F6A" w:rsidP="008F5CB8">
            <w:pPr>
              <w:pStyle w:val="NoSpacing"/>
              <w:rPr>
                <w:sz w:val="16"/>
              </w:rPr>
            </w:pPr>
            <w:r>
              <w:rPr>
                <w:sz w:val="16"/>
              </w:rPr>
              <w:t>19.11</w:t>
            </w:r>
            <w:r>
              <w:sym w:font="Symbol" w:char="F0B0"/>
            </w:r>
            <w:r>
              <w:rPr>
                <w:sz w:val="16"/>
              </w:rPr>
              <w:t xml:space="preserve"> </w:t>
            </w:r>
            <w:r w:rsidRPr="00A01DF2">
              <w:rPr>
                <w:sz w:val="16"/>
              </w:rPr>
              <w:t>±</w:t>
            </w:r>
            <w:r>
              <w:rPr>
                <w:sz w:val="16"/>
              </w:rPr>
              <w:t xml:space="preserve"> 12.77</w:t>
            </w:r>
          </w:p>
        </w:tc>
        <w:tc>
          <w:tcPr>
            <w:tcW w:w="1417" w:type="dxa"/>
          </w:tcPr>
          <w:p w14:paraId="7E78976C" w14:textId="77777777" w:rsidR="00627F6A" w:rsidRPr="00A01DF2" w:rsidRDefault="00627F6A" w:rsidP="008F5CB8">
            <w:pPr>
              <w:pStyle w:val="NoSpacing"/>
              <w:rPr>
                <w:sz w:val="16"/>
              </w:rPr>
            </w:pPr>
            <w:r>
              <w:rPr>
                <w:sz w:val="16"/>
              </w:rPr>
              <w:t>18.22</w:t>
            </w:r>
            <w:r>
              <w:sym w:font="Symbol" w:char="F0B0"/>
            </w:r>
            <w:r>
              <w:rPr>
                <w:sz w:val="16"/>
              </w:rPr>
              <w:t xml:space="preserve"> </w:t>
            </w:r>
            <w:r w:rsidRPr="00A01DF2">
              <w:rPr>
                <w:sz w:val="16"/>
              </w:rPr>
              <w:t>±</w:t>
            </w:r>
            <w:r>
              <w:rPr>
                <w:sz w:val="16"/>
              </w:rPr>
              <w:t xml:space="preserve"> 9.45</w:t>
            </w:r>
          </w:p>
        </w:tc>
        <w:tc>
          <w:tcPr>
            <w:tcW w:w="1706" w:type="dxa"/>
          </w:tcPr>
          <w:p w14:paraId="7356093C" w14:textId="77777777" w:rsidR="00627F6A" w:rsidRPr="00A01DF2" w:rsidRDefault="00627F6A" w:rsidP="008F5CB8">
            <w:pPr>
              <w:pStyle w:val="NoSpacing"/>
              <w:rPr>
                <w:sz w:val="16"/>
              </w:rPr>
            </w:pPr>
            <w:r>
              <w:rPr>
                <w:sz w:val="16"/>
              </w:rPr>
              <w:t>15.76</w:t>
            </w:r>
            <w:r>
              <w:sym w:font="Symbol" w:char="F0B0"/>
            </w:r>
            <w:r>
              <w:rPr>
                <w:sz w:val="16"/>
              </w:rPr>
              <w:t xml:space="preserve"> </w:t>
            </w:r>
            <w:r w:rsidRPr="00A01DF2">
              <w:rPr>
                <w:sz w:val="16"/>
              </w:rPr>
              <w:t>±</w:t>
            </w:r>
            <w:r>
              <w:rPr>
                <w:sz w:val="16"/>
              </w:rPr>
              <w:t xml:space="preserve"> 7.12</w:t>
            </w:r>
          </w:p>
        </w:tc>
      </w:tr>
      <w:tr w:rsidR="00627F6A" w14:paraId="1E562D09" w14:textId="77777777" w:rsidTr="00A52257">
        <w:trPr>
          <w:trHeight w:val="80"/>
          <w:jc w:val="center"/>
        </w:trPr>
        <w:tc>
          <w:tcPr>
            <w:tcW w:w="2126" w:type="dxa"/>
          </w:tcPr>
          <w:p w14:paraId="7F43B081" w14:textId="77777777" w:rsidR="00627F6A" w:rsidRDefault="00627F6A" w:rsidP="008F5CB8">
            <w:pPr>
              <w:pStyle w:val="NoSpacing"/>
              <w:rPr>
                <w:sz w:val="16"/>
              </w:rPr>
            </w:pPr>
            <w:r>
              <w:rPr>
                <w:sz w:val="16"/>
              </w:rPr>
              <w:t>p-Value</w:t>
            </w:r>
          </w:p>
        </w:tc>
        <w:tc>
          <w:tcPr>
            <w:tcW w:w="1555" w:type="dxa"/>
          </w:tcPr>
          <w:p w14:paraId="62D7364E" w14:textId="77777777" w:rsidR="00627F6A" w:rsidRPr="009E3489" w:rsidRDefault="00627F6A" w:rsidP="008F5CB8">
            <w:pPr>
              <w:pStyle w:val="NoSpacing"/>
              <w:rPr>
                <w:i/>
                <w:sz w:val="16"/>
              </w:rPr>
            </w:pPr>
            <w:r w:rsidRPr="009E3489">
              <w:rPr>
                <w:i/>
                <w:sz w:val="16"/>
              </w:rPr>
              <w:t>0.740</w:t>
            </w:r>
          </w:p>
        </w:tc>
        <w:tc>
          <w:tcPr>
            <w:tcW w:w="1276" w:type="dxa"/>
          </w:tcPr>
          <w:p w14:paraId="754B2879" w14:textId="77777777" w:rsidR="00627F6A" w:rsidRPr="009E3489" w:rsidRDefault="00627F6A" w:rsidP="008F5CB8">
            <w:pPr>
              <w:pStyle w:val="NoSpacing"/>
              <w:rPr>
                <w:i/>
                <w:sz w:val="16"/>
              </w:rPr>
            </w:pPr>
            <w:r w:rsidRPr="009E3489">
              <w:rPr>
                <w:i/>
                <w:sz w:val="16"/>
              </w:rPr>
              <w:t>0.863</w:t>
            </w:r>
          </w:p>
        </w:tc>
        <w:tc>
          <w:tcPr>
            <w:tcW w:w="1417" w:type="dxa"/>
          </w:tcPr>
          <w:p w14:paraId="5F5C9780" w14:textId="77777777" w:rsidR="00627F6A" w:rsidRPr="009E3489" w:rsidRDefault="00627F6A" w:rsidP="008F5CB8">
            <w:pPr>
              <w:pStyle w:val="NoSpacing"/>
              <w:rPr>
                <w:i/>
                <w:sz w:val="16"/>
              </w:rPr>
            </w:pPr>
            <w:r w:rsidRPr="009E3489">
              <w:rPr>
                <w:i/>
                <w:sz w:val="16"/>
              </w:rPr>
              <w:t>0.658</w:t>
            </w:r>
          </w:p>
        </w:tc>
        <w:tc>
          <w:tcPr>
            <w:tcW w:w="1706" w:type="dxa"/>
          </w:tcPr>
          <w:p w14:paraId="7E2CF8EA" w14:textId="77777777" w:rsidR="00627F6A" w:rsidRPr="009E3489" w:rsidRDefault="00627F6A" w:rsidP="008F5CB8">
            <w:pPr>
              <w:pStyle w:val="NoSpacing"/>
              <w:rPr>
                <w:i/>
                <w:sz w:val="16"/>
              </w:rPr>
            </w:pPr>
            <w:r w:rsidRPr="009E3489">
              <w:rPr>
                <w:i/>
                <w:sz w:val="16"/>
              </w:rPr>
              <w:t>0.902</w:t>
            </w:r>
          </w:p>
        </w:tc>
      </w:tr>
      <w:tr w:rsidR="00627F6A" w14:paraId="314E5C9E" w14:textId="77777777" w:rsidTr="00A52257">
        <w:trPr>
          <w:trHeight w:val="80"/>
          <w:jc w:val="center"/>
        </w:trPr>
        <w:tc>
          <w:tcPr>
            <w:tcW w:w="2126" w:type="dxa"/>
            <w:tcBorders>
              <w:bottom w:val="single" w:sz="4" w:space="0" w:color="auto"/>
            </w:tcBorders>
          </w:tcPr>
          <w:p w14:paraId="6B0A67D7" w14:textId="77777777" w:rsidR="00627F6A" w:rsidRPr="00B83E0D" w:rsidRDefault="00627F6A" w:rsidP="008F5CB8">
            <w:pPr>
              <w:pStyle w:val="NoSpacing"/>
              <w:rPr>
                <w:b/>
                <w:i/>
                <w:sz w:val="16"/>
              </w:rPr>
            </w:pPr>
            <w:r w:rsidRPr="00B83E0D">
              <w:rPr>
                <w:b/>
                <w:i/>
                <w:sz w:val="16"/>
              </w:rPr>
              <w:t>Vertical Optic Disc Tilt</w:t>
            </w:r>
          </w:p>
        </w:tc>
        <w:tc>
          <w:tcPr>
            <w:tcW w:w="1555" w:type="dxa"/>
            <w:tcBorders>
              <w:bottom w:val="single" w:sz="4" w:space="0" w:color="auto"/>
            </w:tcBorders>
          </w:tcPr>
          <w:p w14:paraId="093E9E71" w14:textId="77777777" w:rsidR="00627F6A" w:rsidRDefault="00627F6A" w:rsidP="008F5CB8">
            <w:pPr>
              <w:pStyle w:val="NoSpacing"/>
              <w:rPr>
                <w:sz w:val="16"/>
              </w:rPr>
            </w:pPr>
          </w:p>
        </w:tc>
        <w:tc>
          <w:tcPr>
            <w:tcW w:w="1276" w:type="dxa"/>
            <w:tcBorders>
              <w:bottom w:val="single" w:sz="4" w:space="0" w:color="auto"/>
            </w:tcBorders>
          </w:tcPr>
          <w:p w14:paraId="425107ED" w14:textId="77777777" w:rsidR="00627F6A" w:rsidRPr="00A01DF2" w:rsidRDefault="00627F6A" w:rsidP="008F5CB8">
            <w:pPr>
              <w:pStyle w:val="NoSpacing"/>
              <w:rPr>
                <w:sz w:val="16"/>
              </w:rPr>
            </w:pPr>
          </w:p>
        </w:tc>
        <w:tc>
          <w:tcPr>
            <w:tcW w:w="1417" w:type="dxa"/>
            <w:tcBorders>
              <w:bottom w:val="single" w:sz="4" w:space="0" w:color="auto"/>
            </w:tcBorders>
          </w:tcPr>
          <w:p w14:paraId="39A9F5C0" w14:textId="77777777" w:rsidR="00627F6A" w:rsidRPr="00A01DF2" w:rsidRDefault="00627F6A" w:rsidP="008F5CB8">
            <w:pPr>
              <w:pStyle w:val="NoSpacing"/>
              <w:rPr>
                <w:sz w:val="16"/>
              </w:rPr>
            </w:pPr>
          </w:p>
        </w:tc>
        <w:tc>
          <w:tcPr>
            <w:tcW w:w="1706" w:type="dxa"/>
            <w:tcBorders>
              <w:bottom w:val="single" w:sz="4" w:space="0" w:color="auto"/>
            </w:tcBorders>
          </w:tcPr>
          <w:p w14:paraId="48459ABF" w14:textId="77777777" w:rsidR="00627F6A" w:rsidRPr="00A01DF2" w:rsidRDefault="00627F6A" w:rsidP="008F5CB8">
            <w:pPr>
              <w:pStyle w:val="NoSpacing"/>
              <w:rPr>
                <w:sz w:val="16"/>
              </w:rPr>
            </w:pPr>
          </w:p>
        </w:tc>
      </w:tr>
      <w:tr w:rsidR="00627F6A" w14:paraId="5FEE42CA" w14:textId="77777777" w:rsidTr="00A52257">
        <w:trPr>
          <w:trHeight w:val="80"/>
          <w:jc w:val="center"/>
        </w:trPr>
        <w:tc>
          <w:tcPr>
            <w:tcW w:w="2126" w:type="dxa"/>
            <w:tcBorders>
              <w:top w:val="single" w:sz="4" w:space="0" w:color="auto"/>
            </w:tcBorders>
          </w:tcPr>
          <w:p w14:paraId="2643DAF6" w14:textId="77777777" w:rsidR="00627F6A" w:rsidRPr="00A01DF2" w:rsidRDefault="00627F6A" w:rsidP="008F5CB8">
            <w:pPr>
              <w:pStyle w:val="NoSpacing"/>
              <w:rPr>
                <w:sz w:val="16"/>
              </w:rPr>
            </w:pPr>
            <w:r w:rsidRPr="00A01DF2">
              <w:rPr>
                <w:sz w:val="16"/>
              </w:rPr>
              <w:t>Emmetropia</w:t>
            </w:r>
          </w:p>
        </w:tc>
        <w:tc>
          <w:tcPr>
            <w:tcW w:w="1555" w:type="dxa"/>
            <w:tcBorders>
              <w:top w:val="single" w:sz="4" w:space="0" w:color="auto"/>
            </w:tcBorders>
          </w:tcPr>
          <w:p w14:paraId="1433E6BD" w14:textId="77777777" w:rsidR="00627F6A" w:rsidRDefault="00627F6A" w:rsidP="008F5CB8">
            <w:pPr>
              <w:pStyle w:val="NoSpacing"/>
              <w:rPr>
                <w:sz w:val="16"/>
              </w:rPr>
            </w:pPr>
            <w:r>
              <w:rPr>
                <w:sz w:val="16"/>
              </w:rPr>
              <w:t>10.63</w:t>
            </w:r>
            <w:r>
              <w:sym w:font="Symbol" w:char="F0B0"/>
            </w:r>
            <w:r w:rsidRPr="00A01DF2">
              <w:rPr>
                <w:sz w:val="16"/>
              </w:rPr>
              <w:t xml:space="preserve"> ± </w:t>
            </w:r>
            <w:r>
              <w:rPr>
                <w:sz w:val="16"/>
              </w:rPr>
              <w:t>7.31</w:t>
            </w:r>
            <w:r w:rsidRPr="00A01DF2">
              <w:rPr>
                <w:sz w:val="16"/>
              </w:rPr>
              <w:t xml:space="preserve"> </w:t>
            </w:r>
          </w:p>
        </w:tc>
        <w:tc>
          <w:tcPr>
            <w:tcW w:w="1276" w:type="dxa"/>
            <w:tcBorders>
              <w:top w:val="single" w:sz="4" w:space="0" w:color="auto"/>
            </w:tcBorders>
          </w:tcPr>
          <w:p w14:paraId="26278C32" w14:textId="77777777" w:rsidR="00627F6A" w:rsidRPr="00A01DF2" w:rsidRDefault="00627F6A" w:rsidP="008F5CB8">
            <w:pPr>
              <w:pStyle w:val="NoSpacing"/>
              <w:rPr>
                <w:sz w:val="16"/>
              </w:rPr>
            </w:pPr>
            <w:r>
              <w:rPr>
                <w:sz w:val="16"/>
              </w:rPr>
              <w:t>11.47</w:t>
            </w:r>
            <w:r>
              <w:sym w:font="Symbol" w:char="F0B0"/>
            </w:r>
            <w:r>
              <w:rPr>
                <w:sz w:val="16"/>
              </w:rPr>
              <w:t xml:space="preserve"> </w:t>
            </w:r>
            <w:r w:rsidRPr="00A01DF2">
              <w:rPr>
                <w:sz w:val="16"/>
              </w:rPr>
              <w:t>±</w:t>
            </w:r>
            <w:r>
              <w:rPr>
                <w:sz w:val="16"/>
              </w:rPr>
              <w:t xml:space="preserve"> 5.26</w:t>
            </w:r>
          </w:p>
        </w:tc>
        <w:tc>
          <w:tcPr>
            <w:tcW w:w="1417" w:type="dxa"/>
            <w:tcBorders>
              <w:top w:val="single" w:sz="4" w:space="0" w:color="auto"/>
            </w:tcBorders>
          </w:tcPr>
          <w:p w14:paraId="563A2218" w14:textId="77777777" w:rsidR="00627F6A" w:rsidRPr="00A01DF2" w:rsidRDefault="00627F6A" w:rsidP="008F5CB8">
            <w:pPr>
              <w:pStyle w:val="NoSpacing"/>
              <w:rPr>
                <w:sz w:val="16"/>
              </w:rPr>
            </w:pPr>
            <w:r>
              <w:rPr>
                <w:sz w:val="16"/>
              </w:rPr>
              <w:t>15.79</w:t>
            </w:r>
            <w:r>
              <w:sym w:font="Symbol" w:char="F0B0"/>
            </w:r>
            <w:r>
              <w:rPr>
                <w:sz w:val="16"/>
              </w:rPr>
              <w:t xml:space="preserve"> </w:t>
            </w:r>
            <w:r w:rsidRPr="00A01DF2">
              <w:rPr>
                <w:sz w:val="16"/>
              </w:rPr>
              <w:t>±</w:t>
            </w:r>
            <w:r>
              <w:rPr>
                <w:sz w:val="16"/>
              </w:rPr>
              <w:t xml:space="preserve"> 11.85</w:t>
            </w:r>
          </w:p>
        </w:tc>
        <w:tc>
          <w:tcPr>
            <w:tcW w:w="1706" w:type="dxa"/>
            <w:tcBorders>
              <w:top w:val="single" w:sz="4" w:space="0" w:color="auto"/>
            </w:tcBorders>
          </w:tcPr>
          <w:p w14:paraId="0F3ADAF3" w14:textId="77777777" w:rsidR="00627F6A" w:rsidRPr="00A01DF2" w:rsidRDefault="00627F6A" w:rsidP="008F5CB8">
            <w:pPr>
              <w:pStyle w:val="NoSpacing"/>
              <w:rPr>
                <w:sz w:val="16"/>
              </w:rPr>
            </w:pPr>
            <w:r>
              <w:rPr>
                <w:sz w:val="16"/>
              </w:rPr>
              <w:t>13.74</w:t>
            </w:r>
            <w:r>
              <w:sym w:font="Symbol" w:char="F0B0"/>
            </w:r>
            <w:r>
              <w:rPr>
                <w:sz w:val="16"/>
              </w:rPr>
              <w:t xml:space="preserve"> </w:t>
            </w:r>
            <w:r w:rsidRPr="00A01DF2">
              <w:rPr>
                <w:sz w:val="16"/>
              </w:rPr>
              <w:t>±</w:t>
            </w:r>
            <w:r>
              <w:rPr>
                <w:sz w:val="16"/>
              </w:rPr>
              <w:t xml:space="preserve"> 3.34</w:t>
            </w:r>
          </w:p>
        </w:tc>
      </w:tr>
      <w:tr w:rsidR="00627F6A" w14:paraId="392A871D" w14:textId="77777777" w:rsidTr="00A52257">
        <w:trPr>
          <w:trHeight w:val="80"/>
          <w:jc w:val="center"/>
        </w:trPr>
        <w:tc>
          <w:tcPr>
            <w:tcW w:w="2126" w:type="dxa"/>
          </w:tcPr>
          <w:p w14:paraId="52852728" w14:textId="77777777" w:rsidR="00627F6A" w:rsidRDefault="00627F6A" w:rsidP="008F5CB8">
            <w:pPr>
              <w:pStyle w:val="NoSpacing"/>
              <w:rPr>
                <w:sz w:val="16"/>
              </w:rPr>
            </w:pPr>
            <w:r>
              <w:rPr>
                <w:sz w:val="16"/>
              </w:rPr>
              <w:t>Myopia</w:t>
            </w:r>
          </w:p>
        </w:tc>
        <w:tc>
          <w:tcPr>
            <w:tcW w:w="1555" w:type="dxa"/>
          </w:tcPr>
          <w:p w14:paraId="593C1953" w14:textId="77777777" w:rsidR="00627F6A" w:rsidRDefault="00627F6A" w:rsidP="008F5CB8">
            <w:pPr>
              <w:pStyle w:val="NoSpacing"/>
              <w:rPr>
                <w:sz w:val="16"/>
              </w:rPr>
            </w:pPr>
            <w:r>
              <w:rPr>
                <w:sz w:val="16"/>
              </w:rPr>
              <w:t>13.96</w:t>
            </w:r>
            <w:r>
              <w:sym w:font="Symbol" w:char="F0B0"/>
            </w:r>
            <w:r w:rsidRPr="00A01DF2">
              <w:rPr>
                <w:sz w:val="16"/>
              </w:rPr>
              <w:t xml:space="preserve"> ± </w:t>
            </w:r>
            <w:r>
              <w:rPr>
                <w:sz w:val="16"/>
              </w:rPr>
              <w:t>7.91</w:t>
            </w:r>
            <w:r w:rsidRPr="00A01DF2">
              <w:rPr>
                <w:sz w:val="16"/>
              </w:rPr>
              <w:t xml:space="preserve"> </w:t>
            </w:r>
          </w:p>
        </w:tc>
        <w:tc>
          <w:tcPr>
            <w:tcW w:w="1276" w:type="dxa"/>
          </w:tcPr>
          <w:p w14:paraId="71A45F4A" w14:textId="77777777" w:rsidR="00627F6A" w:rsidRPr="00A01DF2" w:rsidRDefault="00627F6A" w:rsidP="008F5CB8">
            <w:pPr>
              <w:pStyle w:val="NoSpacing"/>
              <w:rPr>
                <w:sz w:val="16"/>
              </w:rPr>
            </w:pPr>
            <w:r>
              <w:rPr>
                <w:sz w:val="16"/>
              </w:rPr>
              <w:t>15.46</w:t>
            </w:r>
            <w:r>
              <w:sym w:font="Symbol" w:char="F0B0"/>
            </w:r>
            <w:r>
              <w:rPr>
                <w:sz w:val="16"/>
              </w:rPr>
              <w:t xml:space="preserve"> </w:t>
            </w:r>
            <w:r w:rsidRPr="00A01DF2">
              <w:rPr>
                <w:sz w:val="16"/>
              </w:rPr>
              <w:t>±</w:t>
            </w:r>
            <w:r>
              <w:rPr>
                <w:sz w:val="16"/>
              </w:rPr>
              <w:t xml:space="preserve"> 8.05</w:t>
            </w:r>
          </w:p>
        </w:tc>
        <w:tc>
          <w:tcPr>
            <w:tcW w:w="1417" w:type="dxa"/>
          </w:tcPr>
          <w:p w14:paraId="49E8876D" w14:textId="77777777" w:rsidR="00627F6A" w:rsidRPr="00A01DF2" w:rsidRDefault="00627F6A" w:rsidP="008F5CB8">
            <w:pPr>
              <w:pStyle w:val="NoSpacing"/>
              <w:rPr>
                <w:sz w:val="16"/>
              </w:rPr>
            </w:pPr>
            <w:r>
              <w:rPr>
                <w:sz w:val="16"/>
              </w:rPr>
              <w:t>15.80</w:t>
            </w:r>
            <w:r>
              <w:sym w:font="Symbol" w:char="F0B0"/>
            </w:r>
            <w:r>
              <w:rPr>
                <w:sz w:val="16"/>
              </w:rPr>
              <w:t xml:space="preserve"> </w:t>
            </w:r>
            <w:r w:rsidRPr="00A01DF2">
              <w:rPr>
                <w:sz w:val="16"/>
              </w:rPr>
              <w:t>±</w:t>
            </w:r>
            <w:r>
              <w:rPr>
                <w:sz w:val="16"/>
              </w:rPr>
              <w:t xml:space="preserve"> 8.03</w:t>
            </w:r>
          </w:p>
        </w:tc>
        <w:tc>
          <w:tcPr>
            <w:tcW w:w="1706" w:type="dxa"/>
          </w:tcPr>
          <w:p w14:paraId="78A05003" w14:textId="77777777" w:rsidR="00627F6A" w:rsidRPr="00A01DF2" w:rsidRDefault="00627F6A" w:rsidP="008F5CB8">
            <w:pPr>
              <w:pStyle w:val="NoSpacing"/>
              <w:rPr>
                <w:sz w:val="16"/>
              </w:rPr>
            </w:pPr>
            <w:r>
              <w:rPr>
                <w:sz w:val="16"/>
              </w:rPr>
              <w:t>14.87</w:t>
            </w:r>
            <w:r>
              <w:sym w:font="Symbol" w:char="F0B0"/>
            </w:r>
            <w:r>
              <w:rPr>
                <w:sz w:val="16"/>
              </w:rPr>
              <w:t xml:space="preserve"> </w:t>
            </w:r>
            <w:r w:rsidRPr="00A01DF2">
              <w:rPr>
                <w:sz w:val="16"/>
              </w:rPr>
              <w:t>±</w:t>
            </w:r>
            <w:r>
              <w:rPr>
                <w:sz w:val="16"/>
              </w:rPr>
              <w:t xml:space="preserve"> 6.90</w:t>
            </w:r>
          </w:p>
        </w:tc>
      </w:tr>
      <w:tr w:rsidR="00627F6A" w14:paraId="07EA004F" w14:textId="77777777" w:rsidTr="00A52257">
        <w:trPr>
          <w:trHeight w:val="80"/>
          <w:jc w:val="center"/>
        </w:trPr>
        <w:tc>
          <w:tcPr>
            <w:tcW w:w="2126" w:type="dxa"/>
            <w:tcBorders>
              <w:bottom w:val="single" w:sz="4" w:space="0" w:color="auto"/>
            </w:tcBorders>
          </w:tcPr>
          <w:p w14:paraId="49D30226" w14:textId="7E31DCA6" w:rsidR="00627F6A" w:rsidRDefault="00627F6A" w:rsidP="00627F6A">
            <w:pPr>
              <w:pStyle w:val="NoSpacing"/>
              <w:rPr>
                <w:sz w:val="16"/>
              </w:rPr>
            </w:pPr>
            <w:r>
              <w:rPr>
                <w:sz w:val="16"/>
              </w:rPr>
              <w:t>p-Value</w:t>
            </w:r>
          </w:p>
        </w:tc>
        <w:tc>
          <w:tcPr>
            <w:tcW w:w="1555" w:type="dxa"/>
            <w:tcBorders>
              <w:bottom w:val="single" w:sz="4" w:space="0" w:color="auto"/>
            </w:tcBorders>
          </w:tcPr>
          <w:p w14:paraId="3F065B26" w14:textId="5C8550A2" w:rsidR="00627F6A" w:rsidRDefault="00627F6A" w:rsidP="00627F6A">
            <w:pPr>
              <w:pStyle w:val="NoSpacing"/>
              <w:rPr>
                <w:sz w:val="16"/>
              </w:rPr>
            </w:pPr>
            <w:r w:rsidRPr="009E3489">
              <w:rPr>
                <w:i/>
                <w:sz w:val="16"/>
              </w:rPr>
              <w:t>0.</w:t>
            </w:r>
            <w:r>
              <w:rPr>
                <w:i/>
                <w:sz w:val="16"/>
              </w:rPr>
              <w:t>052</w:t>
            </w:r>
          </w:p>
        </w:tc>
        <w:tc>
          <w:tcPr>
            <w:tcW w:w="1276" w:type="dxa"/>
            <w:tcBorders>
              <w:bottom w:val="single" w:sz="4" w:space="0" w:color="auto"/>
            </w:tcBorders>
          </w:tcPr>
          <w:p w14:paraId="71E3977E" w14:textId="7D533C95" w:rsidR="00627F6A" w:rsidRDefault="00627F6A" w:rsidP="00627F6A">
            <w:pPr>
              <w:pStyle w:val="NoSpacing"/>
              <w:rPr>
                <w:sz w:val="16"/>
              </w:rPr>
            </w:pPr>
            <w:r w:rsidRPr="009E3489">
              <w:rPr>
                <w:i/>
                <w:sz w:val="16"/>
              </w:rPr>
              <w:t>0.</w:t>
            </w:r>
            <w:r>
              <w:rPr>
                <w:i/>
                <w:sz w:val="16"/>
              </w:rPr>
              <w:t>048</w:t>
            </w:r>
          </w:p>
        </w:tc>
        <w:tc>
          <w:tcPr>
            <w:tcW w:w="1417" w:type="dxa"/>
            <w:tcBorders>
              <w:bottom w:val="single" w:sz="4" w:space="0" w:color="auto"/>
            </w:tcBorders>
          </w:tcPr>
          <w:p w14:paraId="4337C30C" w14:textId="4B7A2942" w:rsidR="00627F6A" w:rsidRDefault="00627F6A" w:rsidP="00627F6A">
            <w:pPr>
              <w:pStyle w:val="NoSpacing"/>
              <w:rPr>
                <w:sz w:val="16"/>
              </w:rPr>
            </w:pPr>
            <w:r w:rsidRPr="009E3489">
              <w:rPr>
                <w:i/>
                <w:sz w:val="16"/>
              </w:rPr>
              <w:t>0.</w:t>
            </w:r>
            <w:r>
              <w:rPr>
                <w:i/>
                <w:sz w:val="16"/>
              </w:rPr>
              <w:t>314</w:t>
            </w:r>
          </w:p>
        </w:tc>
        <w:tc>
          <w:tcPr>
            <w:tcW w:w="1706" w:type="dxa"/>
            <w:tcBorders>
              <w:bottom w:val="single" w:sz="4" w:space="0" w:color="auto"/>
            </w:tcBorders>
          </w:tcPr>
          <w:p w14:paraId="4D426A04" w14:textId="5F18E1A9" w:rsidR="00627F6A" w:rsidRDefault="00627F6A" w:rsidP="00627F6A">
            <w:pPr>
              <w:pStyle w:val="NoSpacing"/>
              <w:rPr>
                <w:sz w:val="16"/>
              </w:rPr>
            </w:pPr>
            <w:r w:rsidRPr="009E3489">
              <w:rPr>
                <w:i/>
                <w:sz w:val="16"/>
              </w:rPr>
              <w:t>0.</w:t>
            </w:r>
            <w:r>
              <w:rPr>
                <w:i/>
                <w:sz w:val="16"/>
              </w:rPr>
              <w:t>8</w:t>
            </w:r>
            <w:r w:rsidRPr="009E3489">
              <w:rPr>
                <w:i/>
                <w:sz w:val="16"/>
              </w:rPr>
              <w:t>02</w:t>
            </w:r>
          </w:p>
        </w:tc>
      </w:tr>
    </w:tbl>
    <w:p w14:paraId="09F8AEB9" w14:textId="77777777" w:rsidR="00EE6382" w:rsidRDefault="00EE6382" w:rsidP="003F7BC3">
      <w:pPr>
        <w:rPr>
          <w:sz w:val="20"/>
          <w:szCs w:val="20"/>
        </w:rPr>
      </w:pPr>
    </w:p>
    <w:p w14:paraId="2453A468" w14:textId="1E5B968B" w:rsidR="00EE6382" w:rsidRDefault="00EE6382" w:rsidP="00EE6382">
      <w:pPr>
        <w:jc w:val="both"/>
      </w:pPr>
      <w:bookmarkStart w:id="1" w:name="_gjdgxs" w:colFirst="0" w:colLast="0"/>
      <w:bookmarkEnd w:id="1"/>
      <w:r>
        <w:t xml:space="preserve">An important shortcoming of this study was a small number of fundus images that were available for analysis. We are in the process of collecting additional images </w:t>
      </w:r>
      <w:r w:rsidR="00A269DC">
        <w:t>to</w:t>
      </w:r>
      <w:r>
        <w:t xml:space="preserve"> further quantify these results.  We will also extend these studies to anomalous states of the eye.</w:t>
      </w:r>
    </w:p>
    <w:p w14:paraId="1D75E3ED" w14:textId="77777777" w:rsidR="00EE6382" w:rsidRDefault="00EE6382" w:rsidP="00EE6382">
      <w:pPr>
        <w:rPr>
          <w:b/>
        </w:rPr>
      </w:pPr>
      <w:r>
        <w:rPr>
          <w:b/>
        </w:rPr>
        <w:t>Reference:</w:t>
      </w:r>
    </w:p>
    <w:p w14:paraId="2DDF8D95" w14:textId="0FC48EA2" w:rsidR="00EE6382" w:rsidRPr="00887A21" w:rsidRDefault="00A01DF2" w:rsidP="00EE6382">
      <w:pPr>
        <w:pStyle w:val="ListParagraph"/>
        <w:numPr>
          <w:ilvl w:val="0"/>
          <w:numId w:val="1"/>
        </w:numPr>
        <w:jc w:val="both"/>
        <w:rPr>
          <w:color w:val="000000"/>
        </w:rPr>
      </w:pPr>
      <w:r>
        <w:rPr>
          <w:rFonts w:ascii="Arial" w:hAnsi="Arial" w:cs="Arial"/>
          <w:color w:val="222222"/>
          <w:sz w:val="20"/>
          <w:szCs w:val="20"/>
          <w:shd w:val="clear" w:color="auto" w:fill="FFFFFF"/>
        </w:rPr>
        <w:t>Ang M, Wong CW, Hoang QV, Cheung GC, Lee SY, Chia A, Saw SM, Ohno-Matsui K, Schmetterer L. Imaging in myopia: potential biomarkers, current challenges and future developments. British Journal of Ophthalmology. 2019;103(6):855-62.</w:t>
      </w:r>
    </w:p>
    <w:p w14:paraId="744746F8" w14:textId="77777777" w:rsidR="00EE6382" w:rsidRPr="00A269DC" w:rsidRDefault="00EE6382" w:rsidP="00A269DC">
      <w:pPr>
        <w:pStyle w:val="NoSpacing"/>
        <w:rPr>
          <w:b/>
        </w:rPr>
      </w:pPr>
      <w:r w:rsidRPr="00A269DC">
        <w:rPr>
          <w:b/>
        </w:rPr>
        <w:t>Keywords:</w:t>
      </w:r>
    </w:p>
    <w:p w14:paraId="6D7AA0FC" w14:textId="77777777" w:rsidR="00EE6382" w:rsidRDefault="00EE6382" w:rsidP="00A269DC">
      <w:pPr>
        <w:pStyle w:val="NoSpacing"/>
      </w:pPr>
      <w:r>
        <w:t xml:space="preserve">1.) Optic Nerve Head </w:t>
      </w:r>
    </w:p>
    <w:p w14:paraId="147EDE5B" w14:textId="77777777" w:rsidR="00EE6382" w:rsidRDefault="00EE6382" w:rsidP="00A01DF2">
      <w:pPr>
        <w:pStyle w:val="NoSpacing"/>
      </w:pPr>
      <w:r>
        <w:t xml:space="preserve">2.) Optic Disc Tilt </w:t>
      </w:r>
    </w:p>
    <w:p w14:paraId="622517CE" w14:textId="77777777" w:rsidR="00EE6382" w:rsidRDefault="00A01DF2" w:rsidP="00A01DF2">
      <w:pPr>
        <w:pStyle w:val="NoSpacing"/>
      </w:pPr>
      <w:r>
        <w:t xml:space="preserve">3.) </w:t>
      </w:r>
      <w:r w:rsidR="00EE6382">
        <w:t>Myopia</w:t>
      </w:r>
    </w:p>
    <w:p w14:paraId="440F365E" w14:textId="77777777" w:rsidR="00EE6382" w:rsidRDefault="00A01DF2" w:rsidP="00A01DF2">
      <w:pPr>
        <w:pStyle w:val="NoSpacing"/>
      </w:pPr>
      <w:r>
        <w:t>4</w:t>
      </w:r>
      <w:r w:rsidR="00EE6382">
        <w:t>.) OCT</w:t>
      </w:r>
    </w:p>
    <w:p w14:paraId="679E3C15" w14:textId="1110D48A" w:rsidR="00EE6382" w:rsidRDefault="00A01DF2" w:rsidP="00887A21">
      <w:pPr>
        <w:pStyle w:val="NoSpacing"/>
      </w:pPr>
      <w:r>
        <w:t>5</w:t>
      </w:r>
      <w:r w:rsidR="00EE6382">
        <w:t>.) Image Processing</w:t>
      </w:r>
    </w:p>
    <w:sectPr w:rsidR="00EE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311C9"/>
    <w:multiLevelType w:val="hybridMultilevel"/>
    <w:tmpl w:val="CA68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A6A"/>
    <w:rsid w:val="0005724D"/>
    <w:rsid w:val="00240291"/>
    <w:rsid w:val="00253784"/>
    <w:rsid w:val="002C4087"/>
    <w:rsid w:val="0033198A"/>
    <w:rsid w:val="003F7BC3"/>
    <w:rsid w:val="00414A6A"/>
    <w:rsid w:val="00627F6A"/>
    <w:rsid w:val="0063566A"/>
    <w:rsid w:val="007351BC"/>
    <w:rsid w:val="00887A21"/>
    <w:rsid w:val="009E3489"/>
    <w:rsid w:val="00A01DF2"/>
    <w:rsid w:val="00A269DC"/>
    <w:rsid w:val="00A52257"/>
    <w:rsid w:val="00AD3945"/>
    <w:rsid w:val="00B3691D"/>
    <w:rsid w:val="00B83E0D"/>
    <w:rsid w:val="00C90BE3"/>
    <w:rsid w:val="00CF6370"/>
    <w:rsid w:val="00D83CE1"/>
    <w:rsid w:val="00E27E83"/>
    <w:rsid w:val="00E56706"/>
    <w:rsid w:val="00E86A71"/>
    <w:rsid w:val="00EE63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5E58"/>
  <w15:chartTrackingRefBased/>
  <w15:docId w15:val="{1410437D-1A28-4DFE-8904-91527B2A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A6A"/>
    <w:rPr>
      <w:color w:val="0563C1" w:themeColor="hyperlink"/>
      <w:u w:val="single"/>
    </w:rPr>
  </w:style>
  <w:style w:type="paragraph" w:styleId="NoSpacing">
    <w:name w:val="No Spacing"/>
    <w:uiPriority w:val="1"/>
    <w:qFormat/>
    <w:rsid w:val="00A01DF2"/>
    <w:pPr>
      <w:spacing w:after="0" w:line="240" w:lineRule="auto"/>
    </w:pPr>
  </w:style>
  <w:style w:type="paragraph" w:styleId="ListParagraph">
    <w:name w:val="List Paragraph"/>
    <w:basedOn w:val="Normal"/>
    <w:uiPriority w:val="34"/>
    <w:qFormat/>
    <w:rsid w:val="00A01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gulak@uwaterloo.ca" TargetMode="External"/><Relationship Id="rId3" Type="http://schemas.openxmlformats.org/officeDocument/2006/relationships/settings" Target="settings.xml"/><Relationship Id="rId7" Type="http://schemas.openxmlformats.org/officeDocument/2006/relationships/hyperlink" Target="mailto:jothibalaj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wedha.krmg@gmail.com" TargetMode="External"/><Relationship Id="rId5" Type="http://schemas.openxmlformats.org/officeDocument/2006/relationships/hyperlink" Target="mailto:gudapatinitish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19DCB4-525A-CF4E-A127-EAF056571DD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154</TotalTime>
  <Pages>3</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Mr.JOTHI BALAJI J</dc:creator>
  <cp:keywords/>
  <dc:description/>
  <cp:lastModifiedBy>Nitish Gudapati</cp:lastModifiedBy>
  <cp:revision>15</cp:revision>
  <dcterms:created xsi:type="dcterms:W3CDTF">2020-07-14T08:42:00Z</dcterms:created>
  <dcterms:modified xsi:type="dcterms:W3CDTF">2020-07-14T18:18:00Z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documentId_9181</vt:lpwstr>
  </property>
</Properties>
</file>