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Our demo vs the 3 verified local competitors (docs/competitors.md), from each homepage's own HTML/text.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Timeless Touch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Coyote Hair Studio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Rolf Offermann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lean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(~170KB)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stale/broken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text only, no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on-site (Fresha off-site)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(preset, not true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built, stock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21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4.8★/38, prominent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✓, schema only on journal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meta thin, some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 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empty, stale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R100–R600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live WhatsApp click-to-chat and an embedded Google Map with directions — none of the three competitors have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with content marketing built in: a 6-article hair-care journal with FAQPage schema, versus zero blog/content presence across all three competitors.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Best placement of trust proof — 4.8★/38 Google reviews surfaced in the hero and a dedicated section, while two of three competitors show no on-page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Leanest, fastest page — a custom-built single page versus Timeless Touch's ~170KB page-builder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real, confirmed prices (R100–R600) — our menu is still placeholder ("R —") pending the client's own price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real, extensive photo gallery (21 images) of actual work — ours is disclosed stock, not yet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established, indexed local businesses already visible for "hair salon Westville" — we start this build from zero organic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has a working on-site booking flow — we currently route every booking to a phone call.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Confirm real pricing and get it professionally written into the menu — </w:t>
      </w:r>
      <w:r>
        <w:rPr>
          <w:b/>
          <w:bCs/>
          <w:sz w:val="21"/>
          <w:szCs w:val="21"/>
        </w:rPr>
        <w:t xml:space="preserve">Copywriting, R850/page (5 pages R3,500)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Replace phone-only booking with a live calendar, closing the gap to Timeless Touch's booking flow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Basic on-page/GEO groundwork so the site can start competing for local search terms the competitors already occupy — </w:t>
      </w:r>
      <w:r>
        <w:rPr>
          <w:b/>
          <w:bCs/>
          <w:sz w:val="21"/>
          <w:szCs w:val="21"/>
        </w:rPr>
        <w:t xml:space="preserve">SEO Launch, R4,500 once</w:t>
      </w:r>
      <w:r>
        <w:rPr>
          <w:sz w:val="21"/>
          <w:szCs w:val="21"/>
        </w:rPr>
        <w:t xml:space="preserve">.</w:t>
      </w:r>
    </w:p>
    <w:p>
      <w:pPr>
        <w:spacing w:after="100"/>
      </w:pPr>
      <w:r>
        <w:rPr>
          <w:sz w:val="21"/>
          <w:szCs w:val="21"/>
        </w:rPr>
        <w:t xml:space="preserve">(Real photography — the other clear gap — has no rate-card SKU; it's a client-supplied step at go-live, not a separate charge.)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2026-08-17T11:36:15.920Z</dcterms:created>
  <dcterms:modified xsi:type="dcterms:W3CDTF">2026-08-17T11:36:15.920Z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