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BC Therapy — Beauty Salon · 4 Glen Pl, Moseley Park, Pinetown, 3610 Contact: 083 595 2903 (call &amp; confirmed WhatsApp) · IG @bc_therapy_bronwen · FB /BCTherapy/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built a working concept site (not yet live) so you can see this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homepage built around your real 5.0★ Google rating (25 reviews) — the proof point sits front and centre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click-to-WhatsApp buttons throughout (hero, floating button, footer) wired to 083 595 2903, with a pre-filled WhatsApp booking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one-tap "Navigate there" link to 4 Glen Pl, Moseley Park.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quick-answer chat widget that answers "where are you", "what do you offer", "hours", and "how do I book" without a person having to type 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treatment menu shell (facials &amp; skin, massage &amp; body, nails, waxing, lashes, brows) — structure's built, real pricing is still a placeholder pending your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skincare/beauty journal (learn.html) with FAQ schema markup, built for search — plus a gallery combining one genuine photo pulled from your public Fresha listing with clearly-labelled representative stock, ready to be swapped for real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BC Therapy is an owner-operated home studio (single therapist — "Bronwen" is in the Instagram handle), not a multi-room operation needing booking-system depth or franchise-scale analytics. The demo above already fits inside a ≤5-page site with motion, WhatsApp, Maps and basic SEO — which is exactly what the Foundation tier covers, plus hosting and domain handled and 2 rounds of revisions. This is the tier that takes what's already built and gets it live, not a bigger rebuild.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tier (R32,000) — that's built for businesses with real booking-system or content depth needs (e.g. a dental practice or restaurant), which doesn't describe a one-therapist beauty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You already take bookings through Fresha (confirmed via your public Fresha listing). Wiring that into the new site means clients book in one step instead of messaging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</w:t>
      </w:r>
      <w:r>
        <w:rPr>
          <w:sz w:val="21"/>
          <w:szCs w:val="21"/>
        </w:rPr>
        <w:t xml:space="preserve"> (R850/page). The treatment menu on the demo is a placeholder ("R —") — this gets your real services and pricing written up properly rather than left as a shell.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Worth a mention, not a must: a solo therapist mid-treatment can't answer the phone, so calls made while you're with a client currently just go unanswered. Optional — flag to client rather than push.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Right-sized for a single-location, low-change site. Move to Professional (R1,200 pm) only if BC Therapy wants to update the journal or menu themselves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Gets on-page SEO, schema and Google Business Profile alignment right at launch. We're not recommending an ongoing Visibility retainer yet — the Upper Highway beauty-salon competition is real (see competitors.md) but a home-studio budget doesn't justify a monthly spend until the site's had a chance to prove itself organically.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stack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(if taken)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all add-ons included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Essential only = R16,500 once-off + R450 pm — skip the add-ons for now, add them later once the site's live.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If budget's the real blocker:</w:t>
      </w:r>
      <w:r>
        <w:rPr>
          <w:sz w:val="21"/>
          <w:szCs w:val="21"/>
        </w:rPr>
        <w:t xml:space="preserve"> The Signpost — a single premium page — R4,500 once-off. Honest tradeoff: no separate services/gallery/journal pages, no booking depth. Still gets a live, mobile, WhatsApp-enabled page up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2026-08-16T19:08:38.493Z</dcterms:created>
  <dcterms:modified xsi:type="dcterms:W3CDTF">2026-08-16T19:08:38.493Z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