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unverifiable via static fetch (e.g. Cerése is a JS-rendered app — its real content can't be seen by a plain fetch).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 (Kloof/Hillcrest)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Synergyhair (Kloof)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(static HTML size)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(JS bundle, unmeasured)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heavier (~92KB + 23 imgs)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(~344KB)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(mentioned in text, no link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(mentioned)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Now/online")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(FAQ chip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(live-chat 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hero photo ref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23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8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(geo-schema only, no visible embed)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4.6★/83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mentioned,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rating/review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title+meta+OG yes; no schema/content in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title+meta+Organization/WebSite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 ("Home Page") but rich LocalBusiness-style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message button confirmed working in the static markup — New Images only mentions WhatsApp in copy, Synergyhair has none.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Fresha booking is linked as the primary CTA, not just referenced — same booking depth as the competitors claiming "book online," with less friction.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already ships with FAQPage schema and hyper-local content (Hillcrest humidity, salt air, bridal timelines) — none of the three competitors show comparably localised written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the lightest of the four by a wide margin — fastest likely load on mobile, where salon searches mostly happen.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4.6★/83-review rating directly on the homepage as a trust signal — Cerése and New Images don't surface a rating this prominently in static content.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New Images has 23 real-looking homepage images to our one verified real photo; our gallery is majority stock and says so outright ("Most imagery here is representative stock").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Homepage structured data.</w:t>
      </w:r>
      <w:r>
        <w:rPr>
          <w:sz w:val="21"/>
          <w:szCs w:val="21"/>
        </w:rPr>
        <w:t xml:space="preserve"> Synergyhair has full LocalBusiness-style schema (geo, hours, rating, review, service) directly on its homepage. Ours currently only has FAQ schema on the Journal subpage — the homepage itself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We're not discoverable yet.</w:t>
      </w:r>
      <w:r>
        <w:rPr>
          <w:sz w:val="21"/>
          <w:szCs w:val="21"/>
        </w:rPr>
        <w:t xml:space="preserve"> Because the demo is pre-launch, it can't be found in search at all right now —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folded into the Foundation build (R16,500).</w:t>
      </w:r>
      <w:r>
        <w:rPr>
          <w:sz w:val="21"/>
          <w:szCs w:val="21"/>
        </w:rPr>
        <w:t xml:space="preserve"> Replace stock with a real shoot of the salon and stylists at work as part of go-live — not a separate line item, but a hard requirement of shipping.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launch, closing the structured-data gap with Synergyhair and making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Three real, ranking competitors confirmed live in the same catchment is the proof this isn't a hypothetical market — ongoing local SEO is what keeps Salon Highwaves visible next to them after launch, not just present.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2026-08-16T19:53:33.616Z</dcterms:created>
  <dcterms:modified xsi:type="dcterms:W3CDTF">2026-08-16T19:53:33.616Z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