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All prices in ZAR, ex VAT (added only if applicable). 50% deposit, 50% on approval. Monthlies in advance. Ownership transfers on final payment.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at 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 is a working one-page site plus a content hub, built speculatively so The Hair Design Studio can see it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home page — hero, "why choose us," a work gallery, treatment menu, a live-styled reviews stat, journal teaser, and a Visit/map section — mobile-first with scroll-in motion and a count-up stat animation.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Google data on display: 4.6★ from 71 reviews, shown as an animated stat and baked into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 markup (name, address, phone, aggregateRating)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 everywhere it matters — hero buttons, a floating WhatsApp button, and a simple on-site FAQ chatbot (4 canned Q&amp;As) that hands off to WhatsApp for anything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link, and a link out to their Facebook page (their only existing social presence — no Instagram).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this location specifically — hard water and colour fade, KZN humidity and curls, load-shedding styling, bridal timelines — plus an FAQ block marked up with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disclosure built into the page itself: the gallery is honestly labelled as representative stock pending the salon's own photos, and the treatment menu shows placeholder pricing ("R —") pending their real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Foundation is the right fit here, not the Structure tier. This is a single well-rated local salon whose core job is turning "well-rated but invisible online" into calls and WhatsApp bookings — exactly what Foundation is built for: ≤5 pages, motion, WhatsApp, Maps, basic SEO, hosting + domain handled, 2 revisions. There's no franchise complexity, multi-location logic, or heavy transactional depth here that would justify Structure's R32,000 (self-update journal engine, full analytics/conversion tracking, 3 revisions + training) — the one-page-plus-journal shape already matches what the demo proves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salon currently runs on phone/WhatsApp only. Two of the three local competitors we checked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have live online booking — this closes that gap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 — optional.</w:t>
      </w:r>
      <w:r>
        <w:rPr>
          <w:sz w:val="21"/>
          <w:szCs w:val="21"/>
        </w:rPr>
        <w:t xml:space="preserve"> The treatment menu still reads placeholder prices; once The Hair Design Studio supplies their real service list, professionally written menu copy can go in alongside it. Optional, not core to the recommendation.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of keeping the site live and current. Move to Professional (R1,200 pm) only if the salon wants to be making monthly content or menu changes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once).</w:t>
      </w:r>
      <w:r>
        <w:rPr>
          <w:sz w:val="21"/>
          <w:szCs w:val="21"/>
        </w:rPr>
        <w:t xml:space="preserve"> Pinetown/Farningham Ridge salon searches are genuinely winnable — the demo already carries better on-page SEO (proper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schema, live rating) than 2 of the 3 competitors we found, so Launch locks in that technical foundation properly rather than leaving it half-built. Ongoing Visibility (R4,500 pm) or Visibility+GEO (R8,500 pm) is optional — recommend holding off until Launch's impact is visible, since local competition here isn't so fierce that a monthly retainer is urgent on day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 add-on not in the total above: copywriting, R3,500 for 5 pages.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Care Essential (R450 pm) only — skip booking integration and SEO Launch for now, add them later once the site is live and the salon wants to push further.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to The Hair Design Studio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2026-08-16T19:07:22.916Z</dcterms:created>
  <dcterms:modified xsi:type="dcterms:W3CDTF">2026-08-16T19:07:22.916Z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