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Dr Karmini Naidoo Dental Surgery, Pinetown CBD</w:t>
      </w:r>
    </w:p>
    <w:p>
      <w:pPr>
        <w:spacing w:after="100"/>
      </w:pPr>
      <w:r>
        <w:rPr>
          <w:sz w:val="21"/>
          <w:szCs w:val="21"/>
        </w:rPr>
        <w:t xml:space="preserve">All prices ZAR, ex VAT, from the Arkatype 2026 rate card.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so the practice can see this before committing to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proof strip (4.9★, 169 Google reviews), an "about" section, and a services list ready for real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Call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widget answering the five questions patients actually ask (location, services, hours, how to book, "something else").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there" link to 49 Josiah Gumede 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"Oral Health Journal"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patient-education content with FAQ schema markup already wired in, built to be self-updated.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mobile-responsive, fast-loading (no page-builder bloat), with scroll-reveal motion —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practice pages, services, WhatsApp-to-book, Maps, the patient-education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patient questions and booking requests after hours.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practices compete with franchises and established sites already indexed.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Clinics have budget but need proof and measurement — present A as the credible start and B as the practice that shows up in numbers. The Signpost is too thin for a practice; don't offer it here.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"demo goes live" recommendation, but this practice needs more than a brochure. The pain signal is specific: </w:t>
      </w:r>
      <w:r>
        <w:rPr>
          <w:i/>
          <w:iCs/>
          <w:sz w:val="21"/>
          <w:szCs w:val="21"/>
        </w:rPr>
        <w:t xml:space="preserve">a highly-rated practice that patients can't find, can't book with, and can't check hours for online</w:t>
      </w:r>
      <w:r>
        <w:rPr>
          <w:sz w:val="21"/>
          <w:szCs w:val="21"/>
        </w:rPr>
        <w:t xml:space="preserve">. That's not a content problem, it's a booking-and-trust problem — which is what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lead routing</w:t>
      </w:r>
      <w:r>
        <w:rPr>
          <w:sz w:val="21"/>
          <w:szCs w:val="21"/>
        </w:rPr>
        <w:t xml:space="preserve"> — turns "call or WhatsApp only" into an actual online booking path, closing the exact gap in the pain signal.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Gallery/testimonials</w:t>
      </w:r>
      <w:r>
        <w:rPr>
          <w:sz w:val="21"/>
          <w:szCs w:val="21"/>
        </w:rPr>
        <w:t xml:space="preserve"> — a 4.9★/169-review practice has real trust equity sitting unused; Structure is built to surface individual reviews, not just the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analytics/conversion tracking</w:t>
      </w:r>
      <w:r>
        <w:rPr>
          <w:sz w:val="21"/>
          <w:szCs w:val="21"/>
        </w:rPr>
        <w:t xml:space="preserve"> — matters here specifically because this is an analytical buyer: they'll want to see bookings/enquiries as a number, not take our word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is the tier that includes training so the practice can keep adding to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≤10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R950/mo.</w:t>
      </w:r>
      <w:r>
        <w:rPr>
          <w:sz w:val="21"/>
          <w:szCs w:val="21"/>
        </w:rPr>
        <w:t xml:space="preserve"> The demo already proves the concept with a rules-based FAQ bot; upgrading it to a real AI chatbot lets it handle booking questions and after-hours enquiries properly instead of five canned answers.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Structure's booking form can route to a lead inbox, but a real calendar sync (so slots are live, not just a contact form) is what actually fixes "patients can't book online" end to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 (R850/page).</w:t>
      </w:r>
      <w:r>
        <w:rPr>
          <w:sz w:val="21"/>
          <w:szCs w:val="21"/>
        </w:rPr>
        <w:t xml:space="preserve"> Every service line on the demo currently shows a placeholder "R —" — real service copy and pricing needs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Move to Professional (R1,200/mo) if the practice wants to keep adding to the Journal or update services monthly — worth revisiting once the booking form is live and we see how often they want changes made.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— recommended on top, because local competition here is real and already indexed: Family Dental (Westville), Hillcrest Dental (Hillcrest) and Westville Dental Health (Westville) all run live, SEO-tagged sites. Going live from zero means starting behind on search — Visibility is what closes that gap instead of waiting years for organic ranking. (Visibility+GEO, R8,500/mo, is a stretch option if the practice also wants visibility in AI-generated answers like Google AI Overviews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website chatbot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R53,100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R5,900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(R450/mo) only — keeps WhatsApp, Maps and basic SEO from the demo, drops the booking form, analytics and chatbot upgrade. Cheapest viable path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2026-08-24T18:00:01.366Z</dcterms:created>
  <dcterms:modified xsi:type="dcterms:W3CDTF">2026-08-24T18:00:01.366Z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