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Head Cutters Hair Design — Gap Assessment vs Competitors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</w:t>
      </w:r>
    </w:p>
    <w:p>
      <w:pPr>
        <w:spacing w:after="100"/>
      </w:pPr>
      <w:r>
        <w:rPr>
          <w:sz w:val="21"/>
          <w:szCs w:val="21"/>
        </w:rPr>
        <w:t xml:space="preserve">Us = our demo build. Comp A = Coyote Hair Studio. Comp B = Timeless Touch. Comp C = New Images.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A (Coyote)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B (Timeless Touch)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C (New Images)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 (lightweight)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(tel: link only)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(contact page only)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 / 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(6 posts + FAQ)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(FAQ only, no blog)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 / 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(1 real + disclosed stock)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(~19 real)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(~21 photos)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(~23 photos)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 / 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(embed + link)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/ 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(4.9★/43 shown)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 (title/meta/schema)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(title/meta yes, FAQ schema on journal, noindex while draft)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(empty meta, no 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(basic Yoast WebPage 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(full Yoast schema graph, canonical, OG)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(placeholders)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(from R180)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 working WhatsApp CTA — every competitor either omits it or only mentions it in text without a real link (Coyote).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any kind of chatbot / instant-answer widget.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 embedded map and a one-tap "navigate here" link — none of the three competitors have a map at 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actively surfacing the Google rating (4.9★/43) on the site itself — the others rely on the visitor already knowing or finding it elsewhere.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ongoing content (a 6-post journal with FAQ schema) — real, indexable pages beyond a single homepage.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Timeless Touch shows real prices (from R180) — we currently show menu categories with no numbers.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competitors have a real photo gallery from their own business; ours is one real photo plus disclosed stock until the client supplies more.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New Images has more complete technical SEO plumbing (full schema graph, canonical URLs, OG tags) than our current draft, which is still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and missing LocalBusiness schema.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prices on the menu</w:t>
      </w:r>
      <w:r>
        <w:rPr>
          <w:sz w:val="21"/>
          <w:szCs w:val="21"/>
        </w:rPr>
        <w:t xml:space="preserve"> — no rate-card line needed; this is a client-supplied input (confirm actual treatment pricing), not paid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photo gallery</w:t>
      </w:r>
      <w:r>
        <w:rPr>
          <w:sz w:val="21"/>
          <w:szCs w:val="21"/>
        </w:rPr>
        <w:t xml:space="preserve"> — swap in client photos as they arrive; covered under Care plan Essential (R450 pm) once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 integration (R3,600)</w:t>
      </w:r>
      <w:r>
        <w:rPr>
          <w:sz w:val="21"/>
          <w:szCs w:val="21"/>
        </w:rPr>
        <w:t xml:space="preserve"> — none of the three competitors have real online booking either, so this is a genuine first-mover edge in this cluster, not just closing a gap.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(R4,500 once-off)</w:t>
      </w:r>
      <w:r>
        <w:rPr>
          <w:sz w:val="21"/>
          <w:szCs w:val="21"/>
        </w:rPr>
        <w:t xml:space="preserve"> — brings schema/sitemap/GBP alignment up past Coyote and Timeless Touch, and closer to New Images' level, before the site goes live.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Head Cutters Hair Design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2026-08-24T18:00:02.302Z</dcterms:created>
  <dcterms:modified xsi:type="dcterms:W3CDTF">2026-08-24T18:00:02.302Z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