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2026-08-16 · prices valid 30 days from issue once sent</w:t>
      </w:r>
    </w:p>
    <w:p>
      <w:pPr>
        <w:pStyle w:val="Heading1"/>
        <w:spacing w:after="120"/>
      </w:pPr>
      <w:r>
        <w:rPr>
          <w:b/>
          <w:bCs/>
          <w:color w:val="0E3F3A"/>
          <w:sz w:val="36"/>
          <w:szCs w:val="36"/>
        </w:rPr>
        <w:t xml:space="preserve">Gap Assessment — MZO Legacy Driver's Training vs. competitors</w:t>
      </w:r>
    </w:p>
    <w:p>
      <w:pPr>
        <w:spacing w:after="100"/>
      </w:pPr>
      <w:r>
        <w:rPr>
          <w:sz w:val="21"/>
          <w:szCs w:val="21"/>
        </w:rPr>
        <w:t xml:space="preserve">Us = our concept demo (</w:t>
      </w:r>
      <w:r>
        <w:rPr>
          <w:rFonts w:ascii="Consolas" w:cs="Consolas" w:eastAsia="Consolas" w:hAnsi="Consolas"/>
          <w:sz w:val="21"/>
          <w:szCs w:val="21"/>
        </w:rPr>
        <w:t xml:space="preserve">index.html</w:t>
      </w:r>
      <w:r>
        <w:rPr>
          <w:sz w:val="21"/>
          <w:szCs w:val="21"/>
        </w:rPr>
        <w:t xml:space="preserve"> + </w:t>
      </w:r>
      <w:r>
        <w:rPr>
          <w:rFonts w:ascii="Consolas" w:cs="Consolas" w:eastAsia="Consolas" w:hAnsi="Consolas"/>
          <w:sz w:val="21"/>
          <w:szCs w:val="21"/>
        </w:rPr>
        <w:t xml:space="preserve">learn.html</w:t>
      </w:r>
      <w:r>
        <w:rPr>
          <w:sz w:val="21"/>
          <w:szCs w:val="21"/>
        </w:rPr>
        <w:t xml:space="preserve">). Comp A = Apex Driving School. Comp B = Chetty's Driving School. Comp C = Ontrack Driving School. Evidence: </w:t>
      </w:r>
      <w:r>
        <w:rPr>
          <w:rFonts w:ascii="Consolas" w:cs="Consolas" w:eastAsia="Consolas" w:hAnsi="Consolas"/>
          <w:sz w:val="21"/>
          <w:szCs w:val="21"/>
        </w:rPr>
        <w:t xml:space="preserve">curl</w:t>
      </w:r>
      <w:r>
        <w:rPr>
          <w:sz w:val="21"/>
          <w:szCs w:val="21"/>
        </w:rPr>
        <w:t xml:space="preserve">-fetched homepages, read as HTML/text (2026-08-16).</w:t>
      </w:r>
    </w:p>
    <w:p>
      <w:pPr>
        <w:pStyle w:val="Heading2"/>
        <w:spacing w:after="100" w:before="240"/>
      </w:pPr>
      <w:r>
        <w:rPr>
          <w:b/>
          <w:bCs/>
          <w:color w:val="0E3F3A"/>
          <w:sz w:val="26"/>
          <w:szCs w:val="26"/>
        </w:rPr>
        <w:t xml:space="preserve">Feature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125"/>
        <w:gridCol w:w="1125"/>
        <w:gridCol w:w="1125"/>
        <w:gridCol w:w="1125"/>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Feature</w:t>
            </w:r>
          </w:p>
        </w:tc>
        <w:tc>
          <w:tcPr>
            <w:tcW w:type="dxa" w:w="1125"/>
            <w:shd w:fill="EDF2F0" w:val="clear"/>
            <w:tcMar>
              <w:top w:type="dxa" w:w="60"/>
              <w:left w:type="dxa" w:w="100"/>
              <w:bottom w:type="dxa" w:w="60"/>
              <w:right w:type="dxa" w:w="100"/>
            </w:tcMar>
          </w:tcPr>
          <w:p>
            <w:pPr>
              <w:jc w:val="left"/>
            </w:pPr>
            <w:r>
              <w:rPr>
                <w:b/>
                <w:bCs/>
                <w:sz w:val="20"/>
                <w:szCs w:val="20"/>
              </w:rPr>
              <w:t xml:space="preserve">Us</w:t>
            </w:r>
          </w:p>
        </w:tc>
        <w:tc>
          <w:tcPr>
            <w:tcW w:type="dxa" w:w="1125"/>
            <w:shd w:fill="EDF2F0" w:val="clear"/>
            <w:tcMar>
              <w:top w:type="dxa" w:w="60"/>
              <w:left w:type="dxa" w:w="100"/>
              <w:bottom w:type="dxa" w:w="60"/>
              <w:right w:type="dxa" w:w="100"/>
            </w:tcMar>
          </w:tcPr>
          <w:p>
            <w:pPr>
              <w:jc w:val="left"/>
            </w:pPr>
            <w:r>
              <w:rPr>
                <w:b/>
                <w:bCs/>
                <w:sz w:val="20"/>
                <w:szCs w:val="20"/>
              </w:rPr>
              <w:t xml:space="preserve">Comp A (Apex)</w:t>
            </w:r>
          </w:p>
        </w:tc>
        <w:tc>
          <w:tcPr>
            <w:tcW w:type="dxa" w:w="1125"/>
            <w:shd w:fill="EDF2F0" w:val="clear"/>
            <w:tcMar>
              <w:top w:type="dxa" w:w="60"/>
              <w:left w:type="dxa" w:w="100"/>
              <w:bottom w:type="dxa" w:w="60"/>
              <w:right w:type="dxa" w:w="100"/>
            </w:tcMar>
          </w:tcPr>
          <w:p>
            <w:pPr>
              <w:jc w:val="left"/>
            </w:pPr>
            <w:r>
              <w:rPr>
                <w:b/>
                <w:bCs/>
                <w:sz w:val="20"/>
                <w:szCs w:val="20"/>
              </w:rPr>
              <w:t xml:space="preserve">Comp B (Chetty's)</w:t>
            </w:r>
          </w:p>
        </w:tc>
        <w:tc>
          <w:tcPr>
            <w:tcW w:type="dxa" w:w="1125"/>
            <w:shd w:fill="EDF2F0" w:val="clear"/>
            <w:tcMar>
              <w:top w:type="dxa" w:w="60"/>
              <w:left w:type="dxa" w:w="100"/>
              <w:bottom w:type="dxa" w:w="60"/>
              <w:right w:type="dxa" w:w="100"/>
            </w:tcMar>
          </w:tcPr>
          <w:p>
            <w:pPr>
              <w:jc w:val="left"/>
            </w:pPr>
            <w:r>
              <w:rPr>
                <w:b/>
                <w:bCs/>
                <w:sz w:val="20"/>
                <w:szCs w:val="20"/>
              </w:rPr>
              <w:t xml:space="preserve">Comp C (Ontrack)</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Real photos</w:t>
            </w:r>
          </w:p>
        </w:tc>
        <w:tc>
          <w:tcPr>
            <w:tcW w:type="dxa" w:w="1125"/>
            <w:tcMar>
              <w:top w:type="dxa" w:w="60"/>
              <w:left w:type="dxa" w:w="100"/>
              <w:bottom w:type="dxa" w:w="60"/>
              <w:right w:type="dxa" w:w="100"/>
            </w:tcMar>
          </w:tcPr>
          <w:p>
            <w:pPr>
              <w:jc w:val="right"/>
            </w:pPr>
            <w:r>
              <w:rPr>
                <w:b w:val="false"/>
                <w:bCs w:val="false"/>
                <w:sz w:val="20"/>
                <w:szCs w:val="20"/>
              </w:rPr>
              <w:t xml:space="preserve">✗ fully stock, disclosed</w:t>
            </w:r>
          </w:p>
        </w:tc>
        <w:tc>
          <w:tcPr>
            <w:tcW w:type="dxa" w:w="1125"/>
            <w:tcMar>
              <w:top w:type="dxa" w:w="60"/>
              <w:left w:type="dxa" w:w="100"/>
              <w:bottom w:type="dxa" w:w="60"/>
              <w:right w:type="dxa" w:w="100"/>
            </w:tcMar>
          </w:tcPr>
          <w:p>
            <w:pPr>
              <w:jc w:val="right"/>
            </w:pPr>
            <w:r>
              <w:rPr>
                <w:b w:val="false"/>
                <w:bCs w:val="false"/>
                <w:sz w:val="20"/>
                <w:szCs w:val="20"/>
              </w:rPr>
              <w:t xml:space="preserve">✓ gallery present</w:t>
            </w:r>
          </w:p>
        </w:tc>
        <w:tc>
          <w:tcPr>
            <w:tcW w:type="dxa" w:w="1125"/>
            <w:tcMar>
              <w:top w:type="dxa" w:w="60"/>
              <w:left w:type="dxa" w:w="100"/>
              <w:bottom w:type="dxa" w:w="60"/>
              <w:right w:type="dxa" w:w="100"/>
            </w:tcMar>
          </w:tcPr>
          <w:p>
            <w:pPr>
              <w:jc w:val="right"/>
            </w:pPr>
            <w:r>
              <w:rPr>
                <w:b w:val="false"/>
                <w:bCs w:val="false"/>
                <w:sz w:val="20"/>
                <w:szCs w:val="20"/>
              </w:rPr>
              <w:t xml:space="preserve">✗ no gallery found</w:t>
            </w:r>
          </w:p>
        </w:tc>
        <w:tc>
          <w:tcPr>
            <w:tcW w:type="dxa" w:w="1125"/>
            <w:tcMar>
              <w:top w:type="dxa" w:w="60"/>
              <w:left w:type="dxa" w:w="100"/>
              <w:bottom w:type="dxa" w:w="60"/>
              <w:right w:type="dxa" w:w="100"/>
            </w:tcMar>
          </w:tcPr>
          <w:p>
            <w:pPr>
              <w:jc w:val="right"/>
            </w:pPr>
            <w:r>
              <w:rPr>
                <w:b w:val="false"/>
                <w:bCs w:val="false"/>
                <w:sz w:val="20"/>
                <w:szCs w:val="20"/>
              </w:rPr>
              <w:t xml:space="preserve">✓ 15+ photo gallery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Visible prices</w:t>
            </w:r>
          </w:p>
        </w:tc>
        <w:tc>
          <w:tcPr>
            <w:tcW w:type="dxa" w:w="1125"/>
            <w:tcMar>
              <w:top w:type="dxa" w:w="60"/>
              <w:left w:type="dxa" w:w="100"/>
              <w:bottom w:type="dxa" w:w="60"/>
              <w:right w:type="dxa" w:w="100"/>
            </w:tcMar>
          </w:tcPr>
          <w:p>
            <w:pPr>
              <w:jc w:val="right"/>
            </w:pPr>
            <w:r>
              <w:rPr>
                <w:b w:val="false"/>
                <w:bCs w:val="false"/>
                <w:sz w:val="20"/>
                <w:szCs w:val="20"/>
              </w:rPr>
              <w:t xml:space="preserve">✗ "R —" placeholders</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Online booking</w:t>
            </w:r>
          </w:p>
        </w:tc>
        <w:tc>
          <w:tcPr>
            <w:tcW w:type="dxa" w:w="1125"/>
            <w:tcMar>
              <w:top w:type="dxa" w:w="60"/>
              <w:left w:type="dxa" w:w="100"/>
              <w:bottom w:type="dxa" w:w="60"/>
              <w:right w:type="dxa" w:w="100"/>
            </w:tcMar>
          </w:tcPr>
          <w:p>
            <w:pPr>
              <w:jc w:val="right"/>
            </w:pPr>
            <w:r>
              <w:rPr>
                <w:b w:val="false"/>
                <w:bCs w:val="false"/>
                <w:sz w:val="20"/>
                <w:szCs w:val="20"/>
              </w:rPr>
              <w:t xml:space="preserve">✗ WhatsApp/call only (upsell hook shown)</w:t>
            </w:r>
          </w:p>
        </w:tc>
        <w:tc>
          <w:tcPr>
            <w:tcW w:type="dxa" w:w="1125"/>
            <w:tcMar>
              <w:top w:type="dxa" w:w="60"/>
              <w:left w:type="dxa" w:w="100"/>
              <w:bottom w:type="dxa" w:w="60"/>
              <w:right w:type="dxa" w:w="100"/>
            </w:tcMar>
          </w:tcPr>
          <w:p>
            <w:pPr>
              <w:jc w:val="right"/>
            </w:pPr>
            <w:r>
              <w:rPr>
                <w:b w:val="false"/>
                <w:bCs w:val="false"/>
                <w:sz w:val="20"/>
                <w:szCs w:val="20"/>
              </w:rPr>
              <w:t xml:space="preserve">~ WhatsApp booking messages only</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c>
          <w:tcPr>
            <w:tcW w:type="dxa" w:w="1125"/>
            <w:tcMar>
              <w:top w:type="dxa" w:w="60"/>
              <w:left w:type="dxa" w:w="100"/>
              <w:bottom w:type="dxa" w:w="60"/>
              <w:right w:type="dxa" w:w="100"/>
            </w:tcMar>
          </w:tcPr>
          <w:p>
            <w:pPr>
              <w:jc w:val="right"/>
            </w:pPr>
            <w:r>
              <w:rPr>
                <w:b w:val="false"/>
                <w:bCs w:val="false"/>
                <w:sz w:val="20"/>
                <w:szCs w:val="20"/>
              </w:rPr>
              <w:t xml:space="preserve">~ "easily book lessons" claimed, no calendar tool</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WhatsApp</w:t>
            </w:r>
          </w:p>
        </w:tc>
        <w:tc>
          <w:tcPr>
            <w:tcW w:type="dxa" w:w="1125"/>
            <w:tcMar>
              <w:top w:type="dxa" w:w="60"/>
              <w:left w:type="dxa" w:w="100"/>
              <w:bottom w:type="dxa" w:w="60"/>
              <w:right w:type="dxa" w:w="100"/>
            </w:tcMar>
          </w:tcPr>
          <w:p>
            <w:pPr>
              <w:jc w:val="right"/>
            </w:pPr>
            <w:r>
              <w:rPr>
                <w:b w:val="false"/>
                <w:bCs w:val="false"/>
                <w:sz w:val="20"/>
                <w:szCs w:val="20"/>
              </w:rPr>
              <w:t xml:space="preserve">✓ hero + FAB + footer</w:t>
            </w:r>
          </w:p>
        </w:tc>
        <w:tc>
          <w:tcPr>
            <w:tcW w:type="dxa" w:w="1125"/>
            <w:tcMar>
              <w:top w:type="dxa" w:w="60"/>
              <w:left w:type="dxa" w:w="100"/>
              <w:bottom w:type="dxa" w:w="60"/>
              <w:right w:type="dxa" w:w="100"/>
            </w:tcMar>
          </w:tcPr>
          <w:p>
            <w:pPr>
              <w:jc w:val="right"/>
            </w:pPr>
            <w:r>
              <w:rPr>
                <w:b w:val="false"/>
                <w:bCs w:val="false"/>
                <w:sz w:val="20"/>
                <w:szCs w:val="20"/>
              </w:rPr>
              <w:t xml:space="preserve">✓ real wa.me link</w:t>
            </w:r>
          </w:p>
        </w:tc>
        <w:tc>
          <w:tcPr>
            <w:tcW w:type="dxa" w:w="1125"/>
            <w:tcMar>
              <w:top w:type="dxa" w:w="60"/>
              <w:left w:type="dxa" w:w="100"/>
              <w:bottom w:type="dxa" w:w="60"/>
              <w:right w:type="dxa" w:w="100"/>
            </w:tcMar>
          </w:tcPr>
          <w:p>
            <w:pPr>
              <w:jc w:val="right"/>
            </w:pPr>
            <w:r>
              <w:rPr>
                <w:b w:val="false"/>
                <w:bCs w:val="false"/>
                <w:sz w:val="20"/>
                <w:szCs w:val="20"/>
              </w:rPr>
              <w:t xml:space="preserve">✓ real wa.me link</w:t>
            </w:r>
          </w:p>
        </w:tc>
        <w:tc>
          <w:tcPr>
            <w:tcW w:type="dxa" w:w="1125"/>
            <w:tcMar>
              <w:top w:type="dxa" w:w="60"/>
              <w:left w:type="dxa" w:w="100"/>
              <w:bottom w:type="dxa" w:w="60"/>
              <w:right w:type="dxa" w:w="100"/>
            </w:tcMar>
          </w:tcPr>
          <w:p>
            <w:pPr>
              <w:jc w:val="right"/>
            </w:pPr>
            <w:r>
              <w:rPr>
                <w:b w:val="false"/>
                <w:bCs w:val="false"/>
                <w:sz w:val="20"/>
                <w:szCs w:val="20"/>
              </w:rPr>
              <w:t xml:space="preserve">✓ click-to-chat widget</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Chatbot</w:t>
            </w:r>
          </w:p>
        </w:tc>
        <w:tc>
          <w:tcPr>
            <w:tcW w:type="dxa" w:w="1125"/>
            <w:tcMar>
              <w:top w:type="dxa" w:w="60"/>
              <w:left w:type="dxa" w:w="100"/>
              <w:bottom w:type="dxa" w:w="60"/>
              <w:right w:type="dxa" w:w="100"/>
            </w:tcMar>
          </w:tcPr>
          <w:p>
            <w:pPr>
              <w:jc w:val="right"/>
            </w:pPr>
            <w:r>
              <w:rPr>
                <w:b w:val="false"/>
                <w:bCs w:val="false"/>
                <w:sz w:val="20"/>
                <w:szCs w:val="20"/>
              </w:rPr>
              <w:t xml:space="preserve">✓ static FAQ chips</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Maps/directions</w:t>
            </w:r>
          </w:p>
        </w:tc>
        <w:tc>
          <w:tcPr>
            <w:tcW w:type="dxa" w:w="1125"/>
            <w:tcMar>
              <w:top w:type="dxa" w:w="60"/>
              <w:left w:type="dxa" w:w="100"/>
              <w:bottom w:type="dxa" w:w="60"/>
              <w:right w:type="dxa" w:w="100"/>
            </w:tcMar>
          </w:tcPr>
          <w:p>
            <w:pPr>
              <w:jc w:val="right"/>
            </w:pPr>
            <w:r>
              <w:rPr>
                <w:b w:val="false"/>
                <w:bCs w:val="false"/>
                <w:sz w:val="20"/>
                <w:szCs w:val="20"/>
              </w:rPr>
              <w:t xml:space="preserve">✓ embed + navigate link</w:t>
            </w:r>
          </w:p>
        </w:tc>
        <w:tc>
          <w:tcPr>
            <w:tcW w:type="dxa" w:w="1125"/>
            <w:tcMar>
              <w:top w:type="dxa" w:w="60"/>
              <w:left w:type="dxa" w:w="100"/>
              <w:bottom w:type="dxa" w:w="60"/>
              <w:right w:type="dxa" w:w="100"/>
            </w:tcMar>
          </w:tcPr>
          <w:p>
            <w:pPr>
              <w:jc w:val="right"/>
            </w:pPr>
            <w:r>
              <w:rPr>
                <w:b w:val="false"/>
                <w:bCs w:val="false"/>
                <w:sz w:val="20"/>
                <w:szCs w:val="20"/>
              </w:rPr>
              <w:t xml:space="preserve">✗ not found</w:t>
            </w:r>
          </w:p>
        </w:tc>
        <w:tc>
          <w:tcPr>
            <w:tcW w:type="dxa" w:w="1125"/>
            <w:tcMar>
              <w:top w:type="dxa" w:w="60"/>
              <w:left w:type="dxa" w:w="100"/>
              <w:bottom w:type="dxa" w:w="60"/>
              <w:right w:type="dxa" w:w="100"/>
            </w:tcMar>
          </w:tcPr>
          <w:p>
            <w:pPr>
              <w:jc w:val="right"/>
            </w:pPr>
            <w:r>
              <w:rPr>
                <w:b w:val="false"/>
                <w:bCs w:val="false"/>
                <w:sz w:val="20"/>
                <w:szCs w:val="20"/>
              </w:rPr>
              <w:t xml:space="preserve">✗ not found</w:t>
            </w:r>
          </w:p>
        </w:tc>
        <w:tc>
          <w:tcPr>
            <w:tcW w:type="dxa" w:w="1125"/>
            <w:tcMar>
              <w:top w:type="dxa" w:w="60"/>
              <w:left w:type="dxa" w:w="100"/>
              <w:bottom w:type="dxa" w:w="60"/>
              <w:right w:type="dxa" w:w="100"/>
            </w:tcMar>
          </w:tcPr>
          <w:p>
            <w:pPr>
              <w:jc w:val="right"/>
            </w:pPr>
            <w:r>
              <w:rPr>
                <w:b w:val="false"/>
                <w:bCs w:val="false"/>
                <w:sz w:val="20"/>
                <w:szCs w:val="20"/>
              </w:rPr>
              <w:t xml:space="preserve">✗ not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Reviews shown</w:t>
            </w:r>
          </w:p>
        </w:tc>
        <w:tc>
          <w:tcPr>
            <w:tcW w:type="dxa" w:w="1125"/>
            <w:tcMar>
              <w:top w:type="dxa" w:w="60"/>
              <w:left w:type="dxa" w:w="100"/>
              <w:bottom w:type="dxa" w:w="60"/>
              <w:right w:type="dxa" w:w="100"/>
            </w:tcMar>
          </w:tcPr>
          <w:p>
            <w:pPr>
              <w:jc w:val="right"/>
            </w:pPr>
            <w:r>
              <w:rPr>
                <w:b w:val="false"/>
                <w:bCs w:val="false"/>
                <w:sz w:val="20"/>
                <w:szCs w:val="20"/>
              </w:rPr>
              <w:t xml:space="preserve">~ aggregate "4.9·27" stated only</w:t>
            </w:r>
          </w:p>
        </w:tc>
        <w:tc>
          <w:tcPr>
            <w:tcW w:type="dxa" w:w="1125"/>
            <w:tcMar>
              <w:top w:type="dxa" w:w="60"/>
              <w:left w:type="dxa" w:w="100"/>
              <w:bottom w:type="dxa" w:w="60"/>
              <w:right w:type="dxa" w:w="100"/>
            </w:tcMar>
          </w:tcPr>
          <w:p>
            <w:pPr>
              <w:jc w:val="right"/>
            </w:pPr>
            <w:r>
              <w:rPr>
                <w:b w:val="false"/>
                <w:bCs w:val="false"/>
                <w:sz w:val="20"/>
                <w:szCs w:val="20"/>
              </w:rPr>
              <w:t xml:space="preserve">✓ 3 written testimonials</w:t>
            </w:r>
          </w:p>
        </w:tc>
        <w:tc>
          <w:tcPr>
            <w:tcW w:type="dxa" w:w="1125"/>
            <w:tcMar>
              <w:top w:type="dxa" w:w="60"/>
              <w:left w:type="dxa" w:w="100"/>
              <w:bottom w:type="dxa" w:w="60"/>
              <w:right w:type="dxa" w:w="100"/>
            </w:tcMar>
          </w:tcPr>
          <w:p>
            <w:pPr>
              <w:jc w:val="right"/>
            </w:pPr>
            <w:r>
              <w:rPr>
                <w:b w:val="false"/>
                <w:bCs w:val="false"/>
                <w:sz w:val="20"/>
                <w:szCs w:val="20"/>
              </w:rPr>
              <w:t xml:space="preserve">~ separate Reviews page linked, none on homepage</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Journal/blog</w:t>
            </w:r>
          </w:p>
        </w:tc>
        <w:tc>
          <w:tcPr>
            <w:tcW w:type="dxa" w:w="1125"/>
            <w:tcMar>
              <w:top w:type="dxa" w:w="60"/>
              <w:left w:type="dxa" w:w="100"/>
              <w:bottom w:type="dxa" w:w="60"/>
              <w:right w:type="dxa" w:w="100"/>
            </w:tcMar>
          </w:tcPr>
          <w:p>
            <w:pPr>
              <w:jc w:val="right"/>
            </w:pPr>
            <w:r>
              <w:rPr>
                <w:b w:val="false"/>
                <w:bCs w:val="false"/>
                <w:sz w:val="20"/>
                <w:szCs w:val="20"/>
              </w:rPr>
              <w:t xml:space="preserve">✓ 6 articles + FAQ schema</w:t>
            </w:r>
          </w:p>
        </w:tc>
        <w:tc>
          <w:tcPr>
            <w:tcW w:type="dxa" w:w="1125"/>
            <w:tcMar>
              <w:top w:type="dxa" w:w="60"/>
              <w:left w:type="dxa" w:w="100"/>
              <w:bottom w:type="dxa" w:w="60"/>
              <w:right w:type="dxa" w:w="100"/>
            </w:tcMar>
          </w:tcPr>
          <w:p>
            <w:pPr>
              <w:jc w:val="right"/>
            </w:pPr>
            <w:r>
              <w:rPr>
                <w:b w:val="false"/>
                <w:bCs w:val="false"/>
                <w:sz w:val="20"/>
                <w:szCs w:val="20"/>
              </w:rPr>
              <w:t xml:space="preserve">✓ "Insights" blog</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Schema/SEO</w:t>
            </w:r>
          </w:p>
        </w:tc>
        <w:tc>
          <w:tcPr>
            <w:tcW w:type="dxa" w:w="1125"/>
            <w:tcMar>
              <w:top w:type="dxa" w:w="60"/>
              <w:left w:type="dxa" w:w="100"/>
              <w:bottom w:type="dxa" w:w="60"/>
              <w:right w:type="dxa" w:w="100"/>
            </w:tcMar>
          </w:tcPr>
          <w:p>
            <w:pPr>
              <w:jc w:val="right"/>
            </w:pPr>
            <w:r>
              <w:rPr>
                <w:b w:val="false"/>
                <w:bCs w:val="false"/>
                <w:sz w:val="20"/>
                <w:szCs w:val="20"/>
              </w:rPr>
              <w:t xml:space="preserve">✓ LocalBusiness + FAQPage schema</w:t>
            </w:r>
          </w:p>
        </w:tc>
        <w:tc>
          <w:tcPr>
            <w:tcW w:type="dxa" w:w="1125"/>
            <w:tcMar>
              <w:top w:type="dxa" w:w="60"/>
              <w:left w:type="dxa" w:w="100"/>
              <w:bottom w:type="dxa" w:w="60"/>
              <w:right w:type="dxa" w:w="100"/>
            </w:tcMar>
          </w:tcPr>
          <w:p>
            <w:pPr>
              <w:jc w:val="right"/>
            </w:pPr>
            <w:r>
              <w:rPr>
                <w:b w:val="false"/>
                <w:bCs w:val="false"/>
                <w:sz w:val="20"/>
                <w:szCs w:val="20"/>
              </w:rPr>
              <w:t xml:space="preserve">✓ LocalBusiness schema + analytics</w:t>
            </w:r>
          </w:p>
        </w:tc>
        <w:tc>
          <w:tcPr>
            <w:tcW w:type="dxa" w:w="1125"/>
            <w:tcMar>
              <w:top w:type="dxa" w:w="60"/>
              <w:left w:type="dxa" w:w="100"/>
              <w:bottom w:type="dxa" w:w="60"/>
              <w:right w:type="dxa" w:w="100"/>
            </w:tcMar>
          </w:tcPr>
          <w:p>
            <w:pPr>
              <w:jc w:val="right"/>
            </w:pPr>
            <w:r>
              <w:rPr>
                <w:b w:val="false"/>
                <w:bCs w:val="false"/>
                <w:sz w:val="20"/>
                <w:szCs w:val="20"/>
              </w:rPr>
              <w:t xml:space="preserve">~ analytics only, no schema</w:t>
            </w:r>
          </w:p>
        </w:tc>
        <w:tc>
          <w:tcPr>
            <w:tcW w:type="dxa" w:w="1125"/>
            <w:tcMar>
              <w:top w:type="dxa" w:w="60"/>
              <w:left w:type="dxa" w:w="100"/>
              <w:bottom w:type="dxa" w:w="60"/>
              <w:right w:type="dxa" w:w="100"/>
            </w:tcMar>
          </w:tcPr>
          <w:p>
            <w:pPr>
              <w:jc w:val="right"/>
            </w:pPr>
            <w:r>
              <w:rPr>
                <w:b w:val="false"/>
                <w:bCs w:val="false"/>
                <w:sz w:val="20"/>
                <w:szCs w:val="20"/>
              </w:rPr>
              <w:t xml:space="preserve">✗ no schema, no analytics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Mobile-first</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r>
    </w:tbl>
    <w:p>
      <w:pPr>
        <w:spacing w:after="60"/>
      </w:pPr>
    </w:p>
    <w:p>
      <w:pPr>
        <w:spacing w:after="100"/>
      </w:pPr>
      <w:r>
        <w:rPr>
          <w:sz w:val="21"/>
          <w:szCs w:val="21"/>
        </w:rPr>
        <w:t xml:space="preserve">✓ = clearly present and evidenced · ~ = partial/unclear · ✗ = not found</w:t>
      </w:r>
    </w:p>
    <w:p>
      <w:pPr>
        <w:pStyle w:val="Heading2"/>
        <w:spacing w:after="100" w:before="240"/>
      </w:pPr>
      <w:r>
        <w:rPr>
          <w:b/>
          <w:bCs/>
          <w:color w:val="0E3F3A"/>
          <w:sz w:val="26"/>
          <w:szCs w:val="26"/>
        </w:rPr>
        <w:t xml:space="preserve">Where we're ahead</w:t>
      </w:r>
    </w:p>
    <w:p>
      <w:pPr>
        <w:pStyle w:val="ListParagraph"/>
        <w:numPr>
          <w:ilvl w:val="0"/>
          <w:numId w:val="2"/>
        </w:numPr>
        <w:spacing w:after="40"/>
      </w:pPr>
      <w:r>
        <w:rPr>
          <w:sz w:val="21"/>
          <w:szCs w:val="21"/>
        </w:rPr>
        <w:t xml:space="preserve">We're the only one of the four with an on-site chatbot answering common questions instantly.</w:t>
      </w:r>
    </w:p>
    <w:p>
      <w:pPr>
        <w:pStyle w:val="ListParagraph"/>
        <w:numPr>
          <w:ilvl w:val="0"/>
          <w:numId w:val="2"/>
        </w:numPr>
        <w:spacing w:after="40"/>
      </w:pPr>
      <w:r>
        <w:rPr>
          <w:sz w:val="21"/>
          <w:szCs w:val="21"/>
        </w:rPr>
        <w:t xml:space="preserve">We're the only one with embedded Maps + directions — none of the three competitors have a map or navigate link on their homepage.</w:t>
      </w:r>
    </w:p>
    <w:p>
      <w:pPr>
        <w:pStyle w:val="ListParagraph"/>
        <w:numPr>
          <w:ilvl w:val="0"/>
          <w:numId w:val="2"/>
        </w:numPr>
        <w:spacing w:after="40"/>
      </w:pPr>
      <w:r>
        <w:rPr>
          <w:sz w:val="21"/>
          <w:szCs w:val="21"/>
        </w:rPr>
        <w:t xml:space="preserve">We're the only site with schema markup on </w:t>
      </w:r>
      <w:r>
        <w:rPr>
          <w:i/>
          <w:iCs/>
          <w:sz w:val="21"/>
          <w:szCs w:val="21"/>
        </w:rPr>
        <w:t xml:space="preserve">both</w:t>
      </w:r>
      <w:r>
        <w:rPr>
          <w:sz w:val="21"/>
          <w:szCs w:val="21"/>
        </w:rPr>
        <w:t xml:space="preserve"> pages (LocalBusiness on the homepage, FAQPage on the journal) — Apex has homepage schema too, but nothing on a content page.</w:t>
      </w:r>
    </w:p>
    <w:p>
      <w:pPr>
        <w:pStyle w:val="ListParagraph"/>
        <w:numPr>
          <w:ilvl w:val="0"/>
          <w:numId w:val="2"/>
        </w:numPr>
        <w:spacing w:after="40"/>
      </w:pPr>
      <w:r>
        <w:rPr>
          <w:sz w:val="21"/>
          <w:szCs w:val="21"/>
        </w:rPr>
        <w:t xml:space="preserve">WhatsApp is presented as prominently for us as for the competitors that have it (hero, floating button, footer, all pre-filled) — matching Apex's and Ontrack's implementations rather than trailing them.</w:t>
      </w:r>
    </w:p>
    <w:p>
      <w:pPr>
        <w:pStyle w:val="Heading2"/>
        <w:spacing w:after="100" w:before="240"/>
      </w:pPr>
      <w:r>
        <w:rPr>
          <w:b/>
          <w:bCs/>
          <w:color w:val="0E3F3A"/>
          <w:sz w:val="26"/>
          <w:szCs w:val="26"/>
        </w:rPr>
        <w:t xml:space="preserve">Where competitors beat us today</w:t>
      </w:r>
    </w:p>
    <w:p>
      <w:pPr>
        <w:pStyle w:val="ListParagraph"/>
        <w:numPr>
          <w:ilvl w:val="0"/>
          <w:numId w:val="2"/>
        </w:numPr>
        <w:spacing w:after="40"/>
      </w:pPr>
      <w:r>
        <w:rPr>
          <w:b/>
          <w:bCs/>
          <w:sz w:val="21"/>
          <w:szCs w:val="21"/>
        </w:rPr>
        <w:t xml:space="preserve">Apex and Ontrack both show real photo galleries.</w:t>
      </w:r>
      <w:r>
        <w:rPr>
          <w:sz w:val="21"/>
          <w:szCs w:val="21"/>
        </w:rPr>
        <w:t xml:space="preserve"> Ours is fully stock, honestly disclosed in the footer — no client photography exists yet for MZO Legacy.</w:t>
      </w:r>
    </w:p>
    <w:p>
      <w:pPr>
        <w:pStyle w:val="ListParagraph"/>
        <w:numPr>
          <w:ilvl w:val="0"/>
          <w:numId w:val="2"/>
        </w:numPr>
        <w:spacing w:after="40"/>
      </w:pPr>
      <w:r>
        <w:rPr>
          <w:b/>
          <w:bCs/>
          <w:sz w:val="21"/>
          <w:szCs w:val="21"/>
        </w:rPr>
        <w:t xml:space="preserve">Apex has real, written testimonials</w:t>
      </w:r>
      <w:r>
        <w:rPr>
          <w:sz w:val="21"/>
          <w:szCs w:val="21"/>
        </w:rPr>
        <w:t xml:space="preserve"> and an active "Insights" blog with analytics tracking — the most digitally mature of the three, and the clearest sign that competitors in this space are already investing in content and proof.</w:t>
      </w:r>
    </w:p>
    <w:p>
      <w:pPr>
        <w:pStyle w:val="ListParagraph"/>
        <w:numPr>
          <w:ilvl w:val="0"/>
          <w:numId w:val="2"/>
        </w:numPr>
        <w:spacing w:after="40"/>
      </w:pPr>
      <w:r>
        <w:rPr>
          <w:b/>
          <w:bCs/>
          <w:sz w:val="21"/>
          <w:szCs w:val="21"/>
        </w:rPr>
        <w:t xml:space="preserve">Apex runs analytics/conversion tracking</w:t>
      </w:r>
      <w:r>
        <w:rPr>
          <w:sz w:val="21"/>
          <w:szCs w:val="21"/>
        </w:rPr>
        <w:t xml:space="preserve"> — we have none yet (that's a Structure-tier feature, not included in Foundation).</w:t>
      </w:r>
    </w:p>
    <w:p>
      <w:pPr>
        <w:pStyle w:val="ListParagraph"/>
        <w:numPr>
          <w:ilvl w:val="0"/>
          <w:numId w:val="2"/>
        </w:numPr>
        <w:spacing w:after="40"/>
      </w:pPr>
      <w:r>
        <w:rPr>
          <w:b/>
          <w:bCs/>
          <w:sz w:val="21"/>
          <w:szCs w:val="21"/>
        </w:rPr>
        <w:t xml:space="preserve">All three competitors have a working WhatsApp link already live</w:t>
      </w:r>
      <w:r>
        <w:rPr>
          <w:sz w:val="21"/>
          <w:szCs w:val="21"/>
        </w:rPr>
        <w:t xml:space="preserve"> — this isn't a gap in features, but it does mean WhatsApp-first booking is already the market norm here, not a differentiator on its own.</w:t>
      </w:r>
    </w:p>
    <w:p>
      <w:pPr>
        <w:pStyle w:val="Heading2"/>
        <w:spacing w:after="100" w:before="240"/>
      </w:pPr>
      <w:r>
        <w:rPr>
          <w:b/>
          <w:bCs/>
          <w:color w:val="0E3F3A"/>
          <w:sz w:val="26"/>
          <w:szCs w:val="26"/>
        </w:rPr>
        <w:t xml:space="preserve">The two sharpest gaps</w:t>
      </w:r>
    </w:p>
    <w:p>
      <w:pPr>
        <w:pStyle w:val="ListParagraph"/>
        <w:numPr>
          <w:ilvl w:val="0"/>
          <w:numId w:val="3"/>
        </w:numPr>
        <w:spacing w:after="40"/>
      </w:pPr>
      <w:r>
        <w:rPr>
          <w:b/>
          <w:bCs/>
          <w:sz w:val="21"/>
          <w:szCs w:val="21"/>
        </w:rPr>
        <w:t xml:space="preserve">No real photos.</w:t>
      </w:r>
      <w:r>
        <w:rPr>
          <w:sz w:val="21"/>
          <w:szCs w:val="21"/>
        </w:rPr>
        <w:t xml:space="preserve"> Every competitor with a gallery (Apex, Ontrack) shows actual lesson/instructor imagery; ours is stock-only. For a business built on trust ("is this school legit?"), real photos are the single highest-leverage fix once the client can supply them.</w:t>
      </w:r>
    </w:p>
    <w:p>
      <w:pPr>
        <w:pStyle w:val="ListParagraph"/>
        <w:numPr>
          <w:ilvl w:val="0"/>
          <w:numId w:val="3"/>
        </w:numPr>
        <w:spacing w:after="40"/>
      </w:pPr>
      <w:r>
        <w:rPr>
          <w:b/>
          <w:bCs/>
          <w:sz w:val="21"/>
          <w:szCs w:val="21"/>
        </w:rPr>
        <w:t xml:space="preserve">No online booking.</w:t>
      </w:r>
      <w:r>
        <w:rPr>
          <w:sz w:val="21"/>
          <w:szCs w:val="21"/>
        </w:rPr>
        <w:t xml:space="preserve"> All four sites — ours included — fall short of true calendar booking, but this is exactly the gap the "online booking is coming soon" chatbot hook is designed to close, and it's priced and ready to add (booking/calendar integration, R3,600).</w:t>
      </w:r>
    </w:p>
    <w:p>
      <w:pPr>
        <w:pStyle w:val="Heading2"/>
        <w:spacing w:after="100" w:before="240"/>
      </w:pPr>
      <w:r>
        <w:rPr>
          <w:b/>
          <w:bCs/>
          <w:color w:val="0E3F3A"/>
          <w:sz w:val="26"/>
          <w:szCs w:val="26"/>
        </w:rPr>
        <w:t xml:space="preserve">What closes the gap</w:t>
      </w:r>
    </w:p>
    <w:p>
      <w:pPr>
        <w:pStyle w:val="ListParagraph"/>
        <w:numPr>
          <w:ilvl w:val="0"/>
          <w:numId w:val="2"/>
        </w:numPr>
        <w:spacing w:after="40"/>
      </w:pPr>
      <w:r>
        <w:rPr>
          <w:b/>
          <w:bCs/>
          <w:sz w:val="21"/>
          <w:szCs w:val="21"/>
        </w:rPr>
        <w:t xml:space="preserve">Real photos</w:t>
      </w:r>
      <w:r>
        <w:rPr>
          <w:sz w:val="21"/>
          <w:szCs w:val="21"/>
        </w:rPr>
        <w:t xml:space="preserve"> — not a rate-card line item; a prerequisite the client needs to supply before launch (see needs-assessment Notes).</w:t>
      </w:r>
    </w:p>
    <w:p>
      <w:pPr>
        <w:pStyle w:val="ListParagraph"/>
        <w:numPr>
          <w:ilvl w:val="0"/>
          <w:numId w:val="2"/>
        </w:numPr>
        <w:spacing w:after="40"/>
      </w:pPr>
      <w:r>
        <w:rPr>
          <w:b/>
          <w:bCs/>
          <w:sz w:val="21"/>
          <w:szCs w:val="21"/>
        </w:rPr>
        <w:t xml:space="preserve">Booking/calendar integration</w:t>
      </w:r>
      <w:r>
        <w:rPr>
          <w:sz w:val="21"/>
          <w:szCs w:val="21"/>
        </w:rPr>
        <w:t xml:space="preserve"> (R3,600 once) — closes the booking gap directly, and would put MZO Legacy ahead of all three competitors on this feature.</w:t>
      </w:r>
    </w:p>
    <w:p>
      <w:pPr>
        <w:pStyle w:val="ListParagraph"/>
        <w:numPr>
          <w:ilvl w:val="0"/>
          <w:numId w:val="2"/>
        </w:numPr>
        <w:spacing w:after="40"/>
      </w:pPr>
      <w:r>
        <w:rPr>
          <w:b/>
          <w:bCs/>
          <w:sz w:val="21"/>
          <w:szCs w:val="21"/>
        </w:rPr>
        <w:t xml:space="preserve">SEO Launch</w:t>
      </w:r>
      <w:r>
        <w:rPr>
          <w:sz w:val="21"/>
          <w:szCs w:val="21"/>
        </w:rPr>
        <w:t xml:space="preserve"> (R4,500 once) — brings schema/analytics basics in line with Apex, the strongest competitor.</w:t>
      </w:r>
    </w:p>
    <w:p>
      <w:pPr>
        <w:pStyle w:val="ListParagraph"/>
        <w:numPr>
          <w:ilvl w:val="0"/>
          <w:numId w:val="2"/>
        </w:numPr>
        <w:spacing w:after="40"/>
      </w:pPr>
      <w:r>
        <w:rPr>
          <w:b/>
          <w:bCs/>
          <w:sz w:val="21"/>
          <w:szCs w:val="21"/>
        </w:rPr>
        <w:t xml:space="preserve">Testimonials</w:t>
      </w:r>
      <w:r>
        <w:rPr>
          <w:sz w:val="21"/>
          <w:szCs w:val="21"/>
        </w:rPr>
        <w:t xml:space="preserve"> — once real review quotes are sourced and verified from Google, replacing the aggregate-only rating strip would match Apex's testimonial section directly (no extra build cost — a copy/content task once quotes are supplied).</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MZO Legacy Driver's Training · Gap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2026-08-24T18:00:02.881Z</dcterms:created>
  <dcterms:modified xsi:type="dcterms:W3CDTF">2026-08-24T18:00:02.881Z</dcterms:modified>
</cp:coreProperties>
</file>

<file path=docProps/custom.xml><?xml version="1.0" encoding="utf-8"?>
<Properties xmlns="http://schemas.openxmlformats.org/officeDocument/2006/custom-properties" xmlns:vt="http://schemas.openxmlformats.org/officeDocument/2006/docPropsVTypes"/>
</file>