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78745378"/>
        <w:docPartObj>
          <w:docPartGallery w:val="Cover Pages"/>
          <w:docPartUnique/>
        </w:docPartObj>
      </w:sdtPr>
      <w:sdtContent>
        <w:p w14:paraId="5DD707C6" w14:textId="2DDB6C63" w:rsidR="001A3B76" w:rsidRDefault="001A3B76">
          <w:r>
            <w:rPr>
              <w:noProof/>
            </w:rPr>
            <mc:AlternateContent>
              <mc:Choice Requires="wps">
                <w:drawing>
                  <wp:anchor distT="0" distB="0" distL="114300" distR="114300" simplePos="0" relativeHeight="251660288" behindDoc="0" locked="0" layoutInCell="1" allowOverlap="1" wp14:anchorId="39A2570E" wp14:editId="37AA64A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D791CCE" w14:textId="43281AA6" w:rsidR="001A3B76" w:rsidRDefault="001A3B76">
                                    <w:pPr>
                                      <w:pStyle w:val="NoSpacing"/>
                                      <w:jc w:val="right"/>
                                      <w:rPr>
                                        <w:color w:val="595959" w:themeColor="text1" w:themeTint="A6"/>
                                        <w:sz w:val="28"/>
                                        <w:szCs w:val="28"/>
                                      </w:rPr>
                                    </w:pPr>
                                    <w:r>
                                      <w:rPr>
                                        <w:color w:val="595959" w:themeColor="text1" w:themeTint="A6"/>
                                        <w:sz w:val="28"/>
                                        <w:szCs w:val="28"/>
                                      </w:rPr>
                                      <w:t>ST10231877</w:t>
                                    </w:r>
                                  </w:p>
                                </w:sdtContent>
                              </w:sdt>
                              <w:p w14:paraId="6A52D89C" w14:textId="29111BEE" w:rsidR="001A3B76" w:rsidRDefault="001A3B7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Mogamad Naeem Brown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A2570E"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D791CCE" w14:textId="43281AA6" w:rsidR="001A3B76" w:rsidRDefault="001A3B76">
                              <w:pPr>
                                <w:pStyle w:val="NoSpacing"/>
                                <w:jc w:val="right"/>
                                <w:rPr>
                                  <w:color w:val="595959" w:themeColor="text1" w:themeTint="A6"/>
                                  <w:sz w:val="28"/>
                                  <w:szCs w:val="28"/>
                                </w:rPr>
                              </w:pPr>
                              <w:r>
                                <w:rPr>
                                  <w:color w:val="595959" w:themeColor="text1" w:themeTint="A6"/>
                                  <w:sz w:val="28"/>
                                  <w:szCs w:val="28"/>
                                </w:rPr>
                                <w:t>ST10231877</w:t>
                              </w:r>
                            </w:p>
                          </w:sdtContent>
                        </w:sdt>
                        <w:p w14:paraId="6A52D89C" w14:textId="29111BEE" w:rsidR="001A3B76" w:rsidRDefault="001A3B7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Mogamad Naeem Brown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BCBD71" wp14:editId="5FBC624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83950" w14:textId="6605E7F6" w:rsidR="001A3B76" w:rsidRDefault="001A3B76">
                                <w:pPr>
                                  <w:pStyle w:val="NoSpacing"/>
                                  <w:jc w:val="right"/>
                                  <w:rPr>
                                    <w:color w:val="5B9BD5" w:themeColor="accent1"/>
                                    <w:sz w:val="28"/>
                                    <w:szCs w:val="28"/>
                                  </w:rPr>
                                </w:pPr>
                                <w:r>
                                  <w:rPr>
                                    <w:color w:val="5B9BD5" w:themeColor="accent1"/>
                                    <w:sz w:val="28"/>
                                    <w:szCs w:val="28"/>
                                  </w:rPr>
                                  <w:t>Task 1 – Research Partition</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00B6A56" w14:textId="32217BE0" w:rsidR="001A3B76" w:rsidRDefault="001A3B7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BCBD71"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7883950" w14:textId="6605E7F6" w:rsidR="001A3B76" w:rsidRDefault="001A3B76">
                          <w:pPr>
                            <w:pStyle w:val="NoSpacing"/>
                            <w:jc w:val="right"/>
                            <w:rPr>
                              <w:color w:val="5B9BD5" w:themeColor="accent1"/>
                              <w:sz w:val="28"/>
                              <w:szCs w:val="28"/>
                            </w:rPr>
                          </w:pPr>
                          <w:r>
                            <w:rPr>
                              <w:color w:val="5B9BD5" w:themeColor="accent1"/>
                              <w:sz w:val="28"/>
                              <w:szCs w:val="28"/>
                            </w:rPr>
                            <w:t>Task 1 – Research Partition</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00B6A56" w14:textId="32217BE0" w:rsidR="001A3B76" w:rsidRDefault="001A3B7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9142466" wp14:editId="74C543A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EA139" w14:textId="106952DB" w:rsidR="001A3B76" w:rsidRDefault="001A3B7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Prog 7312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8C1446" w14:textId="1CD90066" w:rsidR="001A3B76" w:rsidRDefault="001A3B76">
                                    <w:pPr>
                                      <w:jc w:val="right"/>
                                      <w:rPr>
                                        <w:smallCaps/>
                                        <w:color w:val="404040" w:themeColor="text1" w:themeTint="BF"/>
                                        <w:sz w:val="36"/>
                                        <w:szCs w:val="36"/>
                                      </w:rPr>
                                    </w:pPr>
                                    <w:r>
                                      <w:rPr>
                                        <w:color w:val="404040" w:themeColor="text1" w:themeTint="BF"/>
                                        <w:sz w:val="36"/>
                                        <w:szCs w:val="36"/>
                                      </w:rPr>
                                      <w:t>Portfolio of Evidence Part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142466"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E4EA139" w14:textId="106952DB" w:rsidR="001A3B76" w:rsidRDefault="001A3B7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Prog 7312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8C1446" w14:textId="1CD90066" w:rsidR="001A3B76" w:rsidRDefault="001A3B76">
                              <w:pPr>
                                <w:jc w:val="right"/>
                                <w:rPr>
                                  <w:smallCaps/>
                                  <w:color w:val="404040" w:themeColor="text1" w:themeTint="BF"/>
                                  <w:sz w:val="36"/>
                                  <w:szCs w:val="36"/>
                                </w:rPr>
                              </w:pPr>
                              <w:r>
                                <w:rPr>
                                  <w:color w:val="404040" w:themeColor="text1" w:themeTint="BF"/>
                                  <w:sz w:val="36"/>
                                  <w:szCs w:val="36"/>
                                </w:rPr>
                                <w:t>Portfolio of Evidence Part 1</w:t>
                              </w:r>
                            </w:p>
                          </w:sdtContent>
                        </w:sdt>
                      </w:txbxContent>
                    </v:textbox>
                    <w10:wrap type="square" anchorx="page" anchory="page"/>
                  </v:shape>
                </w:pict>
              </mc:Fallback>
            </mc:AlternateContent>
          </w:r>
          <w:r>
            <w:t>e</w:t>
          </w:r>
        </w:p>
      </w:sdtContent>
    </w:sdt>
    <w:p w14:paraId="78FA3CDA" w14:textId="55D9EB5A" w:rsidR="0041637B" w:rsidRDefault="001A3B76">
      <w:r>
        <w:rPr>
          <w:noProof/>
        </w:rPr>
        <mc:AlternateContent>
          <mc:Choice Requires="wpg">
            <w:drawing>
              <wp:anchor distT="0" distB="0" distL="114300" distR="114300" simplePos="0" relativeHeight="251662336" behindDoc="0" locked="0" layoutInCell="1" allowOverlap="1" wp14:anchorId="1D521CC2" wp14:editId="4C78BFF9">
                <wp:simplePos x="0" y="0"/>
                <wp:positionH relativeFrom="page">
                  <wp:align>left</wp:align>
                </wp:positionH>
                <wp:positionV relativeFrom="margin">
                  <wp:align>center</wp:align>
                </wp:positionV>
                <wp:extent cx="9310052" cy="1215391"/>
                <wp:effectExtent l="8573" t="0" r="0" b="0"/>
                <wp:wrapNone/>
                <wp:docPr id="149" name="Group 157"/>
                <wp:cNvGraphicFramePr/>
                <a:graphic xmlns:a="http://schemas.openxmlformats.org/drawingml/2006/main">
                  <a:graphicData uri="http://schemas.microsoft.com/office/word/2010/wordprocessingGroup">
                    <wpg:wgp>
                      <wpg:cNvGrpSpPr/>
                      <wpg:grpSpPr>
                        <a:xfrm rot="16200000">
                          <a:off x="0" y="0"/>
                          <a:ext cx="9310052"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DA4BC0" id="Group 157" o:spid="_x0000_s1026" style="position:absolute;margin-left:0;margin-top:0;width:733.05pt;height:95.7pt;rotation:-90;z-index:251662336;mso-position-horizontal:left;mso-position-horizontal-relative:page;mso-position-vertical:center;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margin"/>
              </v:group>
            </w:pict>
          </mc:Fallback>
        </mc:AlternateContent>
      </w:r>
      <w:r>
        <w:t>ee</w:t>
      </w:r>
    </w:p>
    <w:p w14:paraId="2A16661B" w14:textId="10F4A71C" w:rsidR="001A3B76" w:rsidRDefault="001A3B76"/>
    <w:p w14:paraId="14BB9BF7" w14:textId="77777777" w:rsidR="001A3B76" w:rsidRDefault="001A3B76">
      <w:r>
        <w:br w:type="page"/>
      </w:r>
    </w:p>
    <w:p w14:paraId="1E67D8CB" w14:textId="77777777" w:rsidR="001A3B76" w:rsidRDefault="001A3B76">
      <w:pPr>
        <w:rPr>
          <w:lang w:val="en-US"/>
        </w:rPr>
      </w:pPr>
    </w:p>
    <w:p w14:paraId="4C4622B3" w14:textId="44587CD9" w:rsidR="001A3B76" w:rsidRPr="009E38EA" w:rsidRDefault="001A3B76" w:rsidP="001A3B76">
      <w:pPr>
        <w:pStyle w:val="Heading1"/>
        <w:rPr>
          <w:rFonts w:ascii="Bahnschrift SemiBold" w:hAnsi="Bahnschrift SemiBold"/>
          <w:b/>
          <w:bCs/>
          <w:sz w:val="56"/>
          <w:szCs w:val="56"/>
          <w:lang w:val="en-US"/>
        </w:rPr>
      </w:pPr>
      <w:r w:rsidRPr="009E38EA">
        <w:rPr>
          <w:rFonts w:ascii="Bahnschrift SemiBold" w:hAnsi="Bahnschrift SemiBold"/>
          <w:b/>
          <w:bCs/>
          <w:sz w:val="56"/>
          <w:szCs w:val="56"/>
          <w:lang w:val="en-US"/>
        </w:rPr>
        <w:t>Task 1</w:t>
      </w:r>
    </w:p>
    <w:p w14:paraId="63D98773" w14:textId="77777777" w:rsidR="001A3B76" w:rsidRDefault="001A3B76" w:rsidP="001A3B76">
      <w:pPr>
        <w:rPr>
          <w:lang w:val="en-US"/>
        </w:rPr>
      </w:pPr>
    </w:p>
    <w:p w14:paraId="3EA15AA4" w14:textId="5CDC39A0" w:rsidR="001A3B76" w:rsidRDefault="009E38EA">
      <w:pPr>
        <w:rPr>
          <w:rFonts w:ascii="Bahnschrift" w:hAnsi="Bahnschrift"/>
          <w:b/>
          <w:bCs/>
          <w:lang w:val="en-US"/>
        </w:rPr>
      </w:pPr>
      <w:r w:rsidRPr="009E38EA">
        <w:rPr>
          <w:rFonts w:ascii="Bahnschrift" w:hAnsi="Bahnschrift"/>
          <w:b/>
          <w:bCs/>
          <w:lang w:val="en-US"/>
        </w:rPr>
        <w:t>Five user engagement strategies</w:t>
      </w:r>
    </w:p>
    <w:p w14:paraId="24BF1037" w14:textId="57C513BA" w:rsidR="009E38EA" w:rsidRPr="00A831A1" w:rsidRDefault="009E38EA" w:rsidP="009E38EA">
      <w:pPr>
        <w:pStyle w:val="ListParagraph"/>
        <w:numPr>
          <w:ilvl w:val="0"/>
          <w:numId w:val="1"/>
        </w:numPr>
        <w:rPr>
          <w:rFonts w:cstheme="minorHAnsi"/>
          <w:lang w:val="en-US"/>
        </w:rPr>
      </w:pPr>
      <w:r w:rsidRPr="00A831A1">
        <w:rPr>
          <w:rFonts w:cstheme="minorHAnsi"/>
          <w:lang w:val="en-US"/>
        </w:rPr>
        <w:t>Feedback and reporting channels</w:t>
      </w:r>
    </w:p>
    <w:p w14:paraId="1AA20800" w14:textId="0B50EBC6" w:rsidR="009E38EA" w:rsidRPr="00A831A1" w:rsidRDefault="009E38EA" w:rsidP="009E38EA">
      <w:pPr>
        <w:pStyle w:val="ListParagraph"/>
        <w:numPr>
          <w:ilvl w:val="0"/>
          <w:numId w:val="1"/>
        </w:numPr>
        <w:rPr>
          <w:rFonts w:cstheme="minorHAnsi"/>
          <w:lang w:val="en-US"/>
        </w:rPr>
      </w:pPr>
      <w:r w:rsidRPr="00A831A1">
        <w:rPr>
          <w:rFonts w:cstheme="minorHAnsi"/>
          <w:lang w:val="en-US"/>
        </w:rPr>
        <w:t>Push notifications</w:t>
      </w:r>
    </w:p>
    <w:p w14:paraId="3AE71354" w14:textId="67BF998E" w:rsidR="009E38EA" w:rsidRPr="00A831A1" w:rsidRDefault="009E38EA" w:rsidP="009E38EA">
      <w:pPr>
        <w:pStyle w:val="ListParagraph"/>
        <w:numPr>
          <w:ilvl w:val="0"/>
          <w:numId w:val="1"/>
        </w:numPr>
        <w:rPr>
          <w:rFonts w:cstheme="minorHAnsi"/>
          <w:lang w:val="en-US"/>
        </w:rPr>
      </w:pPr>
      <w:r w:rsidRPr="00A831A1">
        <w:rPr>
          <w:rFonts w:cstheme="minorHAnsi"/>
          <w:lang w:val="en-US"/>
        </w:rPr>
        <w:t>Gamifications elements</w:t>
      </w:r>
    </w:p>
    <w:p w14:paraId="1957138E" w14:textId="6B9F7371" w:rsidR="009E38EA" w:rsidRPr="00A831A1" w:rsidRDefault="009E38EA" w:rsidP="009E38EA">
      <w:pPr>
        <w:pStyle w:val="ListParagraph"/>
        <w:numPr>
          <w:ilvl w:val="0"/>
          <w:numId w:val="1"/>
        </w:numPr>
        <w:rPr>
          <w:rFonts w:cstheme="minorHAnsi"/>
          <w:lang w:val="en-US"/>
        </w:rPr>
      </w:pPr>
      <w:r w:rsidRPr="00A831A1">
        <w:rPr>
          <w:rFonts w:cstheme="minorHAnsi"/>
          <w:lang w:val="en-US"/>
        </w:rPr>
        <w:t xml:space="preserve">Multilingual and accessible interfaces </w:t>
      </w:r>
    </w:p>
    <w:p w14:paraId="6A385C90" w14:textId="1BDB2EC2" w:rsidR="009E38EA" w:rsidRPr="00A831A1" w:rsidRDefault="009E38EA" w:rsidP="009E38EA">
      <w:pPr>
        <w:pStyle w:val="ListParagraph"/>
        <w:numPr>
          <w:ilvl w:val="0"/>
          <w:numId w:val="1"/>
        </w:numPr>
        <w:rPr>
          <w:rFonts w:cstheme="minorHAnsi"/>
          <w:lang w:val="en-US"/>
        </w:rPr>
      </w:pPr>
      <w:r w:rsidRPr="00A831A1">
        <w:rPr>
          <w:rFonts w:cstheme="minorHAnsi"/>
          <w:lang w:val="en-US"/>
        </w:rPr>
        <w:t>Digital literacy</w:t>
      </w:r>
    </w:p>
    <w:p w14:paraId="2F4CE9F1" w14:textId="77777777" w:rsidR="00A831A1" w:rsidRDefault="00A831A1" w:rsidP="00A831A1">
      <w:pPr>
        <w:rPr>
          <w:rFonts w:ascii="Bahnschrift" w:hAnsi="Bahnschrift"/>
          <w:lang w:val="en-US"/>
        </w:rPr>
      </w:pPr>
    </w:p>
    <w:p w14:paraId="1C258C6E" w14:textId="59FFD1A5" w:rsidR="00A831A1" w:rsidRDefault="00A831A1" w:rsidP="00A831A1">
      <w:pPr>
        <w:rPr>
          <w:rFonts w:ascii="Bahnschrift" w:hAnsi="Bahnschrift"/>
          <w:b/>
          <w:bCs/>
          <w:lang w:val="en-US"/>
        </w:rPr>
      </w:pPr>
      <w:r w:rsidRPr="00A831A1">
        <w:rPr>
          <w:rFonts w:ascii="Bahnschrift" w:hAnsi="Bahnschrift"/>
          <w:b/>
          <w:bCs/>
          <w:lang w:val="en-US"/>
        </w:rPr>
        <w:t>Chosen Strategy – Feedback and Reporting Channels</w:t>
      </w:r>
    </w:p>
    <w:p w14:paraId="6975E0B9" w14:textId="77777777" w:rsidR="00A831A1" w:rsidRDefault="00A831A1" w:rsidP="00A831A1">
      <w:pPr>
        <w:rPr>
          <w:rFonts w:ascii="Bahnschrift" w:hAnsi="Bahnschrift"/>
          <w:b/>
          <w:bCs/>
          <w:lang w:val="en-US"/>
        </w:rPr>
      </w:pPr>
    </w:p>
    <w:p w14:paraId="0BE989EA" w14:textId="77777777" w:rsidR="00224303" w:rsidRPr="00224303" w:rsidRDefault="00224303" w:rsidP="00224303">
      <w:pPr>
        <w:rPr>
          <w:rFonts w:cstheme="minorHAnsi"/>
          <w:lang w:val="en-US"/>
        </w:rPr>
      </w:pPr>
      <w:r w:rsidRPr="00224303">
        <w:rPr>
          <w:rFonts w:cstheme="minorHAnsi"/>
          <w:lang w:val="en-US"/>
        </w:rPr>
        <w:t xml:space="preserve">Feedback and reporting channels are one of the most effective ways to engage users in a municipal service application. They give citizens an accessible way to communicate directly with municipalities about issues such as water leaks, potholes, or power outages. In South Africa, where many municipalities face serious challenges with limited resources, service backlogs, and declining levels of public trust, having a transparent two-way communication system can greatly strengthen both user engagement and governance outcomes (Hart, </w:t>
      </w:r>
      <w:proofErr w:type="spellStart"/>
      <w:r w:rsidRPr="00224303">
        <w:rPr>
          <w:rFonts w:cstheme="minorHAnsi"/>
          <w:lang w:val="en-US"/>
        </w:rPr>
        <w:t>Booyens</w:t>
      </w:r>
      <w:proofErr w:type="spellEnd"/>
      <w:r w:rsidRPr="00224303">
        <w:rPr>
          <w:rFonts w:cstheme="minorHAnsi"/>
          <w:lang w:val="en-US"/>
        </w:rPr>
        <w:t xml:space="preserve"> and </w:t>
      </w:r>
      <w:proofErr w:type="spellStart"/>
      <w:r w:rsidRPr="00224303">
        <w:rPr>
          <w:rFonts w:cstheme="minorHAnsi"/>
          <w:lang w:val="en-US"/>
        </w:rPr>
        <w:t>Sinyolo</w:t>
      </w:r>
      <w:proofErr w:type="spellEnd"/>
      <w:r w:rsidRPr="00224303">
        <w:rPr>
          <w:rFonts w:cstheme="minorHAnsi"/>
          <w:lang w:val="en-US"/>
        </w:rPr>
        <w:t>, 2020).</w:t>
      </w:r>
    </w:p>
    <w:p w14:paraId="195C7C73" w14:textId="77777777" w:rsidR="00224303" w:rsidRPr="00224303" w:rsidRDefault="00224303" w:rsidP="00224303">
      <w:pPr>
        <w:rPr>
          <w:rFonts w:cstheme="minorHAnsi"/>
          <w:lang w:val="en-US"/>
        </w:rPr>
      </w:pPr>
    </w:p>
    <w:p w14:paraId="0C1F023A" w14:textId="77777777" w:rsidR="00224303" w:rsidRPr="00224303" w:rsidRDefault="00224303" w:rsidP="00224303">
      <w:pPr>
        <w:rPr>
          <w:rFonts w:cstheme="minorHAnsi"/>
          <w:lang w:val="en-US"/>
        </w:rPr>
      </w:pPr>
      <w:r w:rsidRPr="00224303">
        <w:rPr>
          <w:rFonts w:cstheme="minorHAnsi"/>
          <w:lang w:val="en-US"/>
        </w:rPr>
        <w:t xml:space="preserve">Firstly, these channels improve responsiveness and accountability. Local municipalities are under increasing pressure to show visible improvements in service delivery, particularly in communities that have experienced years of dissatisfaction and protests (Ngidi and Dorasamy, 2020). Allowing citizens to log issues in real time and then track how the municipality responds creates a cycle of trust. When users can see progress updates, frustration is reduced, and the need for repeated follow-ups or in-person visits is </w:t>
      </w:r>
      <w:proofErr w:type="spellStart"/>
      <w:r w:rsidRPr="00224303">
        <w:rPr>
          <w:rFonts w:cstheme="minorHAnsi"/>
          <w:lang w:val="en-US"/>
        </w:rPr>
        <w:t>minimised</w:t>
      </w:r>
      <w:proofErr w:type="spellEnd"/>
      <w:r w:rsidRPr="00224303">
        <w:rPr>
          <w:rFonts w:cstheme="minorHAnsi"/>
          <w:lang w:val="en-US"/>
        </w:rPr>
        <w:t xml:space="preserve"> (Masiya, Davids and Mangai, 2019).</w:t>
      </w:r>
    </w:p>
    <w:p w14:paraId="1CA51243" w14:textId="77777777" w:rsidR="00224303" w:rsidRPr="00224303" w:rsidRDefault="00224303" w:rsidP="00224303">
      <w:pPr>
        <w:rPr>
          <w:rFonts w:cstheme="minorHAnsi"/>
          <w:lang w:val="en-US"/>
        </w:rPr>
      </w:pPr>
    </w:p>
    <w:p w14:paraId="03BA47BF" w14:textId="77777777" w:rsidR="00224303" w:rsidRPr="00224303" w:rsidRDefault="00224303" w:rsidP="00224303">
      <w:pPr>
        <w:rPr>
          <w:rFonts w:cstheme="minorHAnsi"/>
          <w:lang w:val="en-US"/>
        </w:rPr>
      </w:pPr>
      <w:r w:rsidRPr="00224303">
        <w:rPr>
          <w:rFonts w:cstheme="minorHAnsi"/>
          <w:lang w:val="en-US"/>
        </w:rPr>
        <w:t xml:space="preserve">Secondly, digital reporting supports data-driven decision-making. When complaints are recorded electronically, municipalities can identify recurring patterns—whether in waste management, water systems, or safety concerns. This type of information allows for smarter resource allocation. For instance, if a certain ward regularly reports water leaks, infrastructure investment can be </w:t>
      </w:r>
      <w:proofErr w:type="spellStart"/>
      <w:r w:rsidRPr="00224303">
        <w:rPr>
          <w:rFonts w:cstheme="minorHAnsi"/>
          <w:lang w:val="en-US"/>
        </w:rPr>
        <w:t>prioritised</w:t>
      </w:r>
      <w:proofErr w:type="spellEnd"/>
      <w:r w:rsidRPr="00224303">
        <w:rPr>
          <w:rFonts w:cstheme="minorHAnsi"/>
          <w:lang w:val="en-US"/>
        </w:rPr>
        <w:t xml:space="preserve"> there (Statistics South Africa, 2021). In this way, reporting channels not only help citizens feel heard but also support more effective municipal planning.</w:t>
      </w:r>
    </w:p>
    <w:p w14:paraId="1C5F0EBB" w14:textId="77777777" w:rsidR="00224303" w:rsidRPr="00224303" w:rsidRDefault="00224303" w:rsidP="00224303">
      <w:pPr>
        <w:rPr>
          <w:rFonts w:cstheme="minorHAnsi"/>
          <w:lang w:val="en-US"/>
        </w:rPr>
      </w:pPr>
    </w:p>
    <w:p w14:paraId="05C4D316" w14:textId="77777777" w:rsidR="00224303" w:rsidRPr="00224303" w:rsidRDefault="00224303" w:rsidP="00224303">
      <w:pPr>
        <w:rPr>
          <w:rFonts w:cstheme="minorHAnsi"/>
          <w:lang w:val="en-US"/>
        </w:rPr>
      </w:pPr>
      <w:r w:rsidRPr="00224303">
        <w:rPr>
          <w:rFonts w:cstheme="minorHAnsi"/>
          <w:lang w:val="en-US"/>
        </w:rPr>
        <w:t xml:space="preserve">Thirdly, feedback platforms encourage citizen participation in governance. Public participation is a legal requirement in South Africa (Constitution of the Republic of South Africa, 1996). However, traditional methods like public meetings are often poorly attended or inaccessible. Digital reporting tools extend participation to a broader group, including young people and working citizens who </w:t>
      </w:r>
      <w:r w:rsidRPr="00224303">
        <w:rPr>
          <w:rFonts w:cstheme="minorHAnsi"/>
          <w:lang w:val="en-US"/>
        </w:rPr>
        <w:lastRenderedPageBreak/>
        <w:t>cannot always attend in person (</w:t>
      </w:r>
      <w:proofErr w:type="spellStart"/>
      <w:r w:rsidRPr="00224303">
        <w:rPr>
          <w:rFonts w:cstheme="minorHAnsi"/>
          <w:lang w:val="en-US"/>
        </w:rPr>
        <w:t>Ramjoo</w:t>
      </w:r>
      <w:proofErr w:type="spellEnd"/>
      <w:r w:rsidRPr="00224303">
        <w:rPr>
          <w:rFonts w:cstheme="minorHAnsi"/>
          <w:lang w:val="en-US"/>
        </w:rPr>
        <w:t xml:space="preserve">, 2020). In this way, municipal apps </w:t>
      </w:r>
      <w:proofErr w:type="spellStart"/>
      <w:r w:rsidRPr="00224303">
        <w:rPr>
          <w:rFonts w:cstheme="minorHAnsi"/>
          <w:lang w:val="en-US"/>
        </w:rPr>
        <w:t>modernise</w:t>
      </w:r>
      <w:proofErr w:type="spellEnd"/>
      <w:r w:rsidRPr="00224303">
        <w:rPr>
          <w:rFonts w:cstheme="minorHAnsi"/>
          <w:lang w:val="en-US"/>
        </w:rPr>
        <w:t xml:space="preserve"> participation while still aligning with democratic principles.</w:t>
      </w:r>
    </w:p>
    <w:p w14:paraId="6AE29A7A" w14:textId="77777777" w:rsidR="00224303" w:rsidRPr="00224303" w:rsidRDefault="00224303" w:rsidP="00224303">
      <w:pPr>
        <w:rPr>
          <w:rFonts w:cstheme="minorHAnsi"/>
          <w:lang w:val="en-US"/>
        </w:rPr>
      </w:pPr>
    </w:p>
    <w:p w14:paraId="124D2FF6" w14:textId="77777777" w:rsidR="00224303" w:rsidRPr="00224303" w:rsidRDefault="00224303" w:rsidP="00224303">
      <w:pPr>
        <w:rPr>
          <w:rFonts w:cstheme="minorHAnsi"/>
          <w:lang w:val="en-US"/>
        </w:rPr>
      </w:pPr>
      <w:r w:rsidRPr="00224303">
        <w:rPr>
          <w:rFonts w:cstheme="minorHAnsi"/>
          <w:lang w:val="en-US"/>
        </w:rPr>
        <w:t xml:space="preserve">Another benefit is building transparency and trust. Many citizens feel discouraged when they believe their complaints are ignored. By providing visible status updates such as “Complaint received,” “Work order issued,” or “Issue resolved,” municipalities can show that action is being taken. This fosters confidence and reduces the risk of disengagement (Masiya, Davids and Mangai, 2019; Hart, </w:t>
      </w:r>
      <w:proofErr w:type="spellStart"/>
      <w:r w:rsidRPr="00224303">
        <w:rPr>
          <w:rFonts w:cstheme="minorHAnsi"/>
          <w:lang w:val="en-US"/>
        </w:rPr>
        <w:t>Booyens</w:t>
      </w:r>
      <w:proofErr w:type="spellEnd"/>
      <w:r w:rsidRPr="00224303">
        <w:rPr>
          <w:rFonts w:cstheme="minorHAnsi"/>
          <w:lang w:val="en-US"/>
        </w:rPr>
        <w:t xml:space="preserve"> and </w:t>
      </w:r>
      <w:proofErr w:type="spellStart"/>
      <w:r w:rsidRPr="00224303">
        <w:rPr>
          <w:rFonts w:cstheme="minorHAnsi"/>
          <w:lang w:val="en-US"/>
        </w:rPr>
        <w:t>Sinyolo</w:t>
      </w:r>
      <w:proofErr w:type="spellEnd"/>
      <w:r w:rsidRPr="00224303">
        <w:rPr>
          <w:rFonts w:cstheme="minorHAnsi"/>
          <w:lang w:val="en-US"/>
        </w:rPr>
        <w:t>, 2020).</w:t>
      </w:r>
    </w:p>
    <w:p w14:paraId="3635AABD" w14:textId="77777777" w:rsidR="00224303" w:rsidRPr="00224303" w:rsidRDefault="00224303" w:rsidP="00224303">
      <w:pPr>
        <w:rPr>
          <w:rFonts w:cstheme="minorHAnsi"/>
          <w:lang w:val="en-US"/>
        </w:rPr>
      </w:pPr>
    </w:p>
    <w:p w14:paraId="43E3DB3E" w14:textId="77777777" w:rsidR="00224303" w:rsidRPr="00224303" w:rsidRDefault="00224303" w:rsidP="00224303">
      <w:pPr>
        <w:rPr>
          <w:rFonts w:cstheme="minorHAnsi"/>
          <w:lang w:val="en-US"/>
        </w:rPr>
      </w:pPr>
      <w:r w:rsidRPr="00224303">
        <w:rPr>
          <w:rFonts w:cstheme="minorHAnsi"/>
          <w:lang w:val="en-US"/>
        </w:rPr>
        <w:t>Finally, feedback and reporting tools support inclusive service delivery. Features such as the option to submit reports in different languages, attach photos, or use voice notes make it possible for citizens with different literacy levels or physical limitations to still participate fully (</w:t>
      </w:r>
      <w:proofErr w:type="spellStart"/>
      <w:r w:rsidRPr="00224303">
        <w:rPr>
          <w:rFonts w:cstheme="minorHAnsi"/>
          <w:lang w:val="en-US"/>
        </w:rPr>
        <w:t>Chigona</w:t>
      </w:r>
      <w:proofErr w:type="spellEnd"/>
      <w:r w:rsidRPr="00224303">
        <w:rPr>
          <w:rFonts w:cstheme="minorHAnsi"/>
          <w:lang w:val="en-US"/>
        </w:rPr>
        <w:t xml:space="preserve"> and Mbhele, 2020).</w:t>
      </w:r>
    </w:p>
    <w:p w14:paraId="175EB769" w14:textId="77777777" w:rsidR="00224303" w:rsidRPr="00224303" w:rsidRDefault="00224303" w:rsidP="00224303">
      <w:pPr>
        <w:rPr>
          <w:rFonts w:cstheme="minorHAnsi"/>
          <w:lang w:val="en-US"/>
        </w:rPr>
      </w:pPr>
    </w:p>
    <w:p w14:paraId="47AAFF21" w14:textId="7FD85FFC" w:rsidR="00A831A1" w:rsidRDefault="00224303" w:rsidP="00224303">
      <w:pPr>
        <w:rPr>
          <w:rFonts w:ascii="Bahnschrift" w:hAnsi="Bahnschrift"/>
          <w:lang w:val="en-US"/>
        </w:rPr>
      </w:pPr>
      <w:r w:rsidRPr="00224303">
        <w:rPr>
          <w:rFonts w:cstheme="minorHAnsi"/>
          <w:lang w:val="en-US"/>
        </w:rPr>
        <w:t>In conclusion, feedback and reporting channels are both practical and impactful in the South African context. They enhance accountability, improve planning, broaden citizen participation, and make service delivery more inclusive. By strengthening the link between municipalities and citizens, they help build trust and support more responsive governanc</w:t>
      </w:r>
      <w:r>
        <w:rPr>
          <w:rFonts w:cstheme="minorHAnsi"/>
          <w:lang w:val="en-US"/>
        </w:rPr>
        <w:t>e</w:t>
      </w:r>
      <w:r w:rsidR="00A831A1">
        <w:rPr>
          <w:rFonts w:ascii="Bahnschrift" w:hAnsi="Bahnschrift"/>
          <w:lang w:val="en-US"/>
        </w:rPr>
        <w:br w:type="page"/>
      </w:r>
    </w:p>
    <w:p w14:paraId="0D7C19C9" w14:textId="77777777" w:rsidR="009E38EA" w:rsidRDefault="009E38EA" w:rsidP="009E38EA">
      <w:pPr>
        <w:rPr>
          <w:rFonts w:ascii="Bahnschrift" w:hAnsi="Bahnschrift"/>
          <w:lang w:val="en-US"/>
        </w:rPr>
      </w:pPr>
    </w:p>
    <w:p w14:paraId="342B1E97" w14:textId="1C7C9FB3" w:rsidR="00A831A1" w:rsidRDefault="00A831A1">
      <w:pPr>
        <w:pStyle w:val="Heading1"/>
      </w:pPr>
      <w:r>
        <w:t>References</w:t>
      </w:r>
    </w:p>
    <w:p w14:paraId="0877C096" w14:textId="77777777" w:rsidR="00224303" w:rsidRPr="00224303" w:rsidRDefault="00224303" w:rsidP="00224303"/>
    <w:p w14:paraId="58F45407" w14:textId="77777777" w:rsidR="0023101C" w:rsidRDefault="0023101C" w:rsidP="0023101C">
      <w:proofErr w:type="spellStart"/>
      <w:r>
        <w:t>Chigona</w:t>
      </w:r>
      <w:proofErr w:type="spellEnd"/>
      <w:r>
        <w:t>, W. and Mbhele, F., 2020. Digital inclusion for development: Challenges facing South Africa’s municipalities. African Journal of Information and Communication, 26(1), pp.1–15.</w:t>
      </w:r>
    </w:p>
    <w:p w14:paraId="30488429" w14:textId="77777777" w:rsidR="0023101C" w:rsidRDefault="0023101C" w:rsidP="0023101C"/>
    <w:p w14:paraId="6902D6C8" w14:textId="77777777" w:rsidR="0023101C" w:rsidRDefault="0023101C" w:rsidP="0023101C">
      <w:r>
        <w:t>Constitution of the Republic of South Africa, 1996. Bill of Rights. Pretoria: Government Printer.</w:t>
      </w:r>
    </w:p>
    <w:p w14:paraId="2CF6B835" w14:textId="77777777" w:rsidR="0023101C" w:rsidRDefault="0023101C" w:rsidP="0023101C"/>
    <w:p w14:paraId="1005A545" w14:textId="77777777" w:rsidR="0023101C" w:rsidRDefault="0023101C" w:rsidP="0023101C">
      <w:r>
        <w:t xml:space="preserve">Hart, T.G.B., </w:t>
      </w:r>
      <w:proofErr w:type="spellStart"/>
      <w:r>
        <w:t>Booyens</w:t>
      </w:r>
      <w:proofErr w:type="spellEnd"/>
      <w:r>
        <w:t xml:space="preserve">, I. and </w:t>
      </w:r>
      <w:proofErr w:type="spellStart"/>
      <w:r>
        <w:t>Sinyolo</w:t>
      </w:r>
      <w:proofErr w:type="spellEnd"/>
      <w:r>
        <w:t>, S., 2020. Innovation for development in South Africa: Experiences with basic service technologies in distressed municipalities. Forum for Development Studies, 47(1), pp.23–47.</w:t>
      </w:r>
    </w:p>
    <w:p w14:paraId="43A1FDA4" w14:textId="77777777" w:rsidR="0023101C" w:rsidRDefault="0023101C" w:rsidP="0023101C"/>
    <w:p w14:paraId="388C518C" w14:textId="77777777" w:rsidR="0023101C" w:rsidRDefault="0023101C" w:rsidP="0023101C">
      <w:r>
        <w:t xml:space="preserve">Masiya, T., Davids, Y.D. and Mangai, M.S., 2019. Public participation and service delivery: The case of local government in South Africa. </w:t>
      </w:r>
      <w:proofErr w:type="spellStart"/>
      <w:r>
        <w:t>Administratio</w:t>
      </w:r>
      <w:proofErr w:type="spellEnd"/>
      <w:r>
        <w:t xml:space="preserve"> Publica, 27(3), pp.26–46.</w:t>
      </w:r>
    </w:p>
    <w:p w14:paraId="7A2140F2" w14:textId="77777777" w:rsidR="0023101C" w:rsidRDefault="0023101C" w:rsidP="0023101C"/>
    <w:p w14:paraId="68C582FE" w14:textId="77777777" w:rsidR="0023101C" w:rsidRDefault="0023101C" w:rsidP="0023101C">
      <w:r>
        <w:t>Ngidi, N. and Dorasamy, N., 2020. Public accountability and municipal service delivery in South Africa: A critique. Journal of Public Administration, 55(3), pp.437–449.</w:t>
      </w:r>
    </w:p>
    <w:p w14:paraId="7C3F2682" w14:textId="77777777" w:rsidR="0023101C" w:rsidRDefault="0023101C" w:rsidP="0023101C"/>
    <w:p w14:paraId="1DB53A12" w14:textId="77777777" w:rsidR="0023101C" w:rsidRDefault="0023101C" w:rsidP="0023101C">
      <w:proofErr w:type="spellStart"/>
      <w:r>
        <w:t>Ramjoo</w:t>
      </w:r>
      <w:proofErr w:type="spellEnd"/>
      <w:r>
        <w:t>, T., 2020. Citizen engagement and local government responsiveness: An African perspective. Journal of African Governance and Development, 9(1), pp.45–59.</w:t>
      </w:r>
    </w:p>
    <w:p w14:paraId="4C818D4B" w14:textId="77777777" w:rsidR="0023101C" w:rsidRDefault="0023101C" w:rsidP="0023101C"/>
    <w:p w14:paraId="34005F4E" w14:textId="21165E66" w:rsidR="00A831A1" w:rsidRPr="009E38EA" w:rsidRDefault="0023101C" w:rsidP="0023101C">
      <w:pPr>
        <w:rPr>
          <w:rFonts w:ascii="Bahnschrift" w:hAnsi="Bahnschrift"/>
          <w:lang w:val="en-US"/>
        </w:rPr>
      </w:pPr>
      <w:r>
        <w:t>Statistics South Africa, 2021. General household survey 2020: Service delivery insights. Pretoria: Statistics South Africa.</w:t>
      </w:r>
    </w:p>
    <w:sectPr w:rsidR="00A831A1" w:rsidRPr="009E38EA" w:rsidSect="001A3B7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82C12"/>
    <w:multiLevelType w:val="hybridMultilevel"/>
    <w:tmpl w:val="D4F69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668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2B"/>
    <w:rsid w:val="001A3B76"/>
    <w:rsid w:val="00224303"/>
    <w:rsid w:val="0023101C"/>
    <w:rsid w:val="0041637B"/>
    <w:rsid w:val="0055302B"/>
    <w:rsid w:val="008035B2"/>
    <w:rsid w:val="009E38EA"/>
    <w:rsid w:val="00A831A1"/>
    <w:rsid w:val="00B63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FE65"/>
  <w15:chartTrackingRefBased/>
  <w15:docId w15:val="{F835C2C8-25CA-4BA9-AFD9-0A8FC6E3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02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5302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5302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5302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5302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53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02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530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5302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5302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5302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53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02B"/>
    <w:rPr>
      <w:rFonts w:eastAsiaTheme="majorEastAsia" w:cstheme="majorBidi"/>
      <w:color w:val="272727" w:themeColor="text1" w:themeTint="D8"/>
    </w:rPr>
  </w:style>
  <w:style w:type="paragraph" w:styleId="Title">
    <w:name w:val="Title"/>
    <w:basedOn w:val="Normal"/>
    <w:next w:val="Normal"/>
    <w:link w:val="TitleChar"/>
    <w:uiPriority w:val="10"/>
    <w:qFormat/>
    <w:rsid w:val="00553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02B"/>
    <w:pPr>
      <w:spacing w:before="160"/>
      <w:jc w:val="center"/>
    </w:pPr>
    <w:rPr>
      <w:i/>
      <w:iCs/>
      <w:color w:val="404040" w:themeColor="text1" w:themeTint="BF"/>
    </w:rPr>
  </w:style>
  <w:style w:type="character" w:customStyle="1" w:styleId="QuoteChar">
    <w:name w:val="Quote Char"/>
    <w:basedOn w:val="DefaultParagraphFont"/>
    <w:link w:val="Quote"/>
    <w:uiPriority w:val="29"/>
    <w:rsid w:val="0055302B"/>
    <w:rPr>
      <w:i/>
      <w:iCs/>
      <w:color w:val="404040" w:themeColor="text1" w:themeTint="BF"/>
    </w:rPr>
  </w:style>
  <w:style w:type="paragraph" w:styleId="ListParagraph">
    <w:name w:val="List Paragraph"/>
    <w:basedOn w:val="Normal"/>
    <w:uiPriority w:val="34"/>
    <w:qFormat/>
    <w:rsid w:val="0055302B"/>
    <w:pPr>
      <w:ind w:left="720"/>
      <w:contextualSpacing/>
    </w:pPr>
  </w:style>
  <w:style w:type="character" w:styleId="IntenseEmphasis">
    <w:name w:val="Intense Emphasis"/>
    <w:basedOn w:val="DefaultParagraphFont"/>
    <w:uiPriority w:val="21"/>
    <w:qFormat/>
    <w:rsid w:val="0055302B"/>
    <w:rPr>
      <w:i/>
      <w:iCs/>
      <w:color w:val="2E74B5" w:themeColor="accent1" w:themeShade="BF"/>
    </w:rPr>
  </w:style>
  <w:style w:type="paragraph" w:styleId="IntenseQuote">
    <w:name w:val="Intense Quote"/>
    <w:basedOn w:val="Normal"/>
    <w:next w:val="Normal"/>
    <w:link w:val="IntenseQuoteChar"/>
    <w:uiPriority w:val="30"/>
    <w:qFormat/>
    <w:rsid w:val="0055302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5302B"/>
    <w:rPr>
      <w:i/>
      <w:iCs/>
      <w:color w:val="2E74B5" w:themeColor="accent1" w:themeShade="BF"/>
    </w:rPr>
  </w:style>
  <w:style w:type="character" w:styleId="IntenseReference">
    <w:name w:val="Intense Reference"/>
    <w:basedOn w:val="DefaultParagraphFont"/>
    <w:uiPriority w:val="32"/>
    <w:qFormat/>
    <w:rsid w:val="0055302B"/>
    <w:rPr>
      <w:b/>
      <w:bCs/>
      <w:smallCaps/>
      <w:color w:val="2E74B5" w:themeColor="accent1" w:themeShade="BF"/>
      <w:spacing w:val="5"/>
    </w:rPr>
  </w:style>
  <w:style w:type="paragraph" w:styleId="NoSpacing">
    <w:name w:val="No Spacing"/>
    <w:link w:val="NoSpacingChar"/>
    <w:uiPriority w:val="1"/>
    <w:qFormat/>
    <w:rsid w:val="001A3B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3B7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Mogamad Naeem Brown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478270-B6E5-4066-B8D7-44FFD42D5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 7312</dc:title>
  <dc:subject>Portfolio of Evidence Part 1</dc:subject>
  <dc:creator>ST10231877</dc:creator>
  <cp:keywords/>
  <dc:description/>
  <cp:lastModifiedBy>Naeem Brown</cp:lastModifiedBy>
  <cp:revision>2</cp:revision>
  <dcterms:created xsi:type="dcterms:W3CDTF">2025-08-27T07:15:00Z</dcterms:created>
  <dcterms:modified xsi:type="dcterms:W3CDTF">2025-08-27T07:58:00Z</dcterms:modified>
</cp:coreProperties>
</file>