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28882" w14:textId="77777777" w:rsidR="003A2C0B" w:rsidRDefault="00000000">
      <w:pPr>
        <w:pStyle w:val="Heading1"/>
        <w:jc w:val="center"/>
      </w:pPr>
      <w:proofErr w:type="spellStart"/>
      <w:r>
        <w:t>Bài</w:t>
      </w:r>
      <w:proofErr w:type="spellEnd"/>
      <w:r>
        <w:t xml:space="preserve"> 4: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CSDL SQL so </w:t>
      </w:r>
      <w:proofErr w:type="spellStart"/>
      <w:r>
        <w:t>với</w:t>
      </w:r>
      <w:proofErr w:type="spellEnd"/>
      <w:r>
        <w:t xml:space="preserve"> NoSQL</w:t>
      </w:r>
    </w:p>
    <w:p w14:paraId="5FFBC575" w14:textId="680183DB" w:rsidR="003A2C0B" w:rsidRDefault="00000000">
      <w:pPr>
        <w:pStyle w:val="Heading2"/>
      </w:pPr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</w:p>
    <w:p w14:paraId="58D2F85D" w14:textId="71B52C8E" w:rsidR="003A2C0B" w:rsidRPr="00F95673" w:rsidRDefault="00000000">
      <w:pPr>
        <w:rPr>
          <w:lang w:val="vi-VN"/>
        </w:rPr>
      </w:pP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SQL so </w:t>
      </w:r>
      <w:proofErr w:type="spellStart"/>
      <w:r>
        <w:t>với</w:t>
      </w:r>
      <w:proofErr w:type="spellEnd"/>
      <w:r>
        <w:t xml:space="preserve"> NoSQL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web </w:t>
      </w:r>
      <w:proofErr w:type="spellStart"/>
      <w:r>
        <w:t>hiện</w:t>
      </w:r>
      <w:proofErr w:type="spellEnd"/>
      <w:r>
        <w:t xml:space="preserve"> nay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308EDFFA" w14:textId="77777777" w:rsidR="003A2C0B" w:rsidRDefault="00000000"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>: “SQL vs NoSQL”, “difference between SQL and NoSQL databases”, “advantages of SQL and NoSQL”, “scalability of databases”.</w:t>
      </w:r>
    </w:p>
    <w:p w14:paraId="5C20D50F" w14:textId="12F3520F" w:rsidR="003A2C0B" w:rsidRDefault="00000000">
      <w:pPr>
        <w:pStyle w:val="Heading2"/>
      </w:pPr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CRAAP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1"/>
        <w:gridCol w:w="1431"/>
        <w:gridCol w:w="1275"/>
        <w:gridCol w:w="1560"/>
        <w:gridCol w:w="1275"/>
        <w:gridCol w:w="1134"/>
        <w:gridCol w:w="1276"/>
      </w:tblGrid>
      <w:tr w:rsidR="003A2C0B" w14:paraId="14C5303E" w14:textId="77777777" w:rsidTr="00F95673">
        <w:trPr>
          <w:trHeight w:val="1377"/>
        </w:trPr>
        <w:tc>
          <w:tcPr>
            <w:tcW w:w="691" w:type="dxa"/>
          </w:tcPr>
          <w:p w14:paraId="729A92C9" w14:textId="77777777" w:rsidR="003A2C0B" w:rsidRDefault="00000000">
            <w:pPr>
              <w:jc w:val="center"/>
            </w:pPr>
            <w:r>
              <w:t>STT</w:t>
            </w:r>
          </w:p>
        </w:tc>
        <w:tc>
          <w:tcPr>
            <w:tcW w:w="1431" w:type="dxa"/>
          </w:tcPr>
          <w:p w14:paraId="2EFE3044" w14:textId="77777777" w:rsidR="003A2C0B" w:rsidRDefault="00000000">
            <w:pPr>
              <w:jc w:val="center"/>
            </w:pPr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275" w:type="dxa"/>
          </w:tcPr>
          <w:p w14:paraId="688E754C" w14:textId="77777777" w:rsidR="003A2C0B" w:rsidRDefault="00000000">
            <w:pPr>
              <w:jc w:val="center"/>
            </w:pPr>
            <w:proofErr w:type="spellStart"/>
            <w:r>
              <w:rPr>
                <w:rFonts w:ascii="Times New Roman" w:hAnsi="Times New Roman"/>
              </w:rPr>
              <w:t>Tính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thời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sự</w:t>
            </w:r>
            <w:proofErr w:type="spellEnd"/>
          </w:p>
        </w:tc>
        <w:tc>
          <w:tcPr>
            <w:tcW w:w="1560" w:type="dxa"/>
          </w:tcPr>
          <w:p w14:paraId="3C36C139" w14:textId="77777777" w:rsidR="003A2C0B" w:rsidRDefault="00000000">
            <w:pPr>
              <w:jc w:val="center"/>
            </w:pPr>
            <w:proofErr w:type="spellStart"/>
            <w:r>
              <w:rPr>
                <w:rFonts w:ascii="Times New Roman" w:hAnsi="Times New Roman"/>
              </w:rPr>
              <w:t>Tính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liên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quan</w:t>
            </w:r>
            <w:proofErr w:type="spellEnd"/>
          </w:p>
        </w:tc>
        <w:tc>
          <w:tcPr>
            <w:tcW w:w="1275" w:type="dxa"/>
          </w:tcPr>
          <w:p w14:paraId="1B9F6EAB" w14:textId="77777777" w:rsidR="003A2C0B" w:rsidRDefault="00000000">
            <w:pPr>
              <w:jc w:val="center"/>
            </w:pPr>
            <w:proofErr w:type="spellStart"/>
            <w:r>
              <w:rPr>
                <w:rFonts w:ascii="Times New Roman" w:hAnsi="Times New Roman"/>
              </w:rPr>
              <w:t>Tính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uy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quyền</w:t>
            </w:r>
            <w:proofErr w:type="spellEnd"/>
          </w:p>
        </w:tc>
        <w:tc>
          <w:tcPr>
            <w:tcW w:w="1134" w:type="dxa"/>
          </w:tcPr>
          <w:p w14:paraId="4E654A1F" w14:textId="77777777" w:rsidR="003A2C0B" w:rsidRDefault="00000000">
            <w:pPr>
              <w:jc w:val="center"/>
            </w:pPr>
            <w:proofErr w:type="spellStart"/>
            <w:r>
              <w:rPr>
                <w:rFonts w:ascii="Times New Roman" w:hAnsi="Times New Roman"/>
              </w:rPr>
              <w:t>Tính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chính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xác</w:t>
            </w:r>
            <w:proofErr w:type="spellEnd"/>
          </w:p>
        </w:tc>
        <w:tc>
          <w:tcPr>
            <w:tcW w:w="1276" w:type="dxa"/>
          </w:tcPr>
          <w:p w14:paraId="1ED9635A" w14:textId="77777777" w:rsidR="003A2C0B" w:rsidRDefault="00000000">
            <w:pPr>
              <w:jc w:val="center"/>
            </w:pPr>
            <w:proofErr w:type="spellStart"/>
            <w:r>
              <w:rPr>
                <w:rFonts w:ascii="Times New Roman" w:hAnsi="Times New Roman"/>
              </w:rPr>
              <w:t>Mục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đích</w:t>
            </w:r>
            <w:proofErr w:type="spellEnd"/>
          </w:p>
        </w:tc>
      </w:tr>
      <w:tr w:rsidR="003A2C0B" w14:paraId="5E16AA72" w14:textId="77777777" w:rsidTr="00F95673">
        <w:tc>
          <w:tcPr>
            <w:tcW w:w="691" w:type="dxa"/>
          </w:tcPr>
          <w:p w14:paraId="6BD86501" w14:textId="77777777" w:rsidR="003A2C0B" w:rsidRDefault="00000000">
            <w:pPr>
              <w:jc w:val="center"/>
            </w:pPr>
            <w:r>
              <w:t>1</w:t>
            </w:r>
          </w:p>
        </w:tc>
        <w:tc>
          <w:tcPr>
            <w:tcW w:w="1431" w:type="dxa"/>
          </w:tcPr>
          <w:p w14:paraId="67A7D730" w14:textId="0E7763F9" w:rsidR="003A2C0B" w:rsidRDefault="00000000">
            <w:pPr>
              <w:jc w:val="center"/>
            </w:pPr>
            <w:r>
              <w:t>MongoDB, Inc. (2024)</w:t>
            </w:r>
            <w:r w:rsidR="00F95673">
              <w:t xml:space="preserve"> </w:t>
            </w:r>
            <w:sdt>
              <w:sdtPr>
                <w:id w:val="-1434594527"/>
                <w:citation/>
              </w:sdtPr>
              <w:sdtContent>
                <w:r w:rsidR="00F95673">
                  <w:fldChar w:fldCharType="begin"/>
                </w:r>
                <w:r w:rsidR="00F95673">
                  <w:rPr>
                    <w:lang w:val="vi-VN"/>
                  </w:rPr>
                  <w:instrText xml:space="preserve">CITATION Mon24 \l 1066 </w:instrText>
                </w:r>
                <w:r w:rsidR="00F95673">
                  <w:fldChar w:fldCharType="separate"/>
                </w:r>
                <w:r w:rsidR="00A0030D" w:rsidRPr="00A0030D">
                  <w:rPr>
                    <w:noProof/>
                    <w:lang w:val="vi-VN"/>
                  </w:rPr>
                  <w:t>[1]</w:t>
                </w:r>
                <w:r w:rsidR="00F95673">
                  <w:fldChar w:fldCharType="end"/>
                </w:r>
              </w:sdtContent>
            </w:sdt>
          </w:p>
        </w:tc>
        <w:tc>
          <w:tcPr>
            <w:tcW w:w="1275" w:type="dxa"/>
          </w:tcPr>
          <w:p w14:paraId="2CF74825" w14:textId="77777777" w:rsidR="003A2C0B" w:rsidRDefault="00000000">
            <w:pPr>
              <w:jc w:val="center"/>
            </w:pPr>
            <w:r>
              <w:t>5</w:t>
            </w:r>
          </w:p>
        </w:tc>
        <w:tc>
          <w:tcPr>
            <w:tcW w:w="1560" w:type="dxa"/>
          </w:tcPr>
          <w:p w14:paraId="25978903" w14:textId="77777777" w:rsidR="003A2C0B" w:rsidRDefault="00000000">
            <w:pPr>
              <w:jc w:val="center"/>
            </w:pPr>
            <w:r>
              <w:t>5</w:t>
            </w:r>
          </w:p>
        </w:tc>
        <w:tc>
          <w:tcPr>
            <w:tcW w:w="1275" w:type="dxa"/>
          </w:tcPr>
          <w:p w14:paraId="416FFC33" w14:textId="77777777" w:rsidR="003A2C0B" w:rsidRDefault="00000000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14:paraId="002B0EA4" w14:textId="77777777" w:rsidR="003A2C0B" w:rsidRDefault="00000000">
            <w:pPr>
              <w:jc w:val="center"/>
            </w:pPr>
            <w:r>
              <w:t>4</w:t>
            </w:r>
          </w:p>
        </w:tc>
        <w:tc>
          <w:tcPr>
            <w:tcW w:w="1276" w:type="dxa"/>
          </w:tcPr>
          <w:p w14:paraId="0EDD6274" w14:textId="77777777" w:rsidR="003A2C0B" w:rsidRDefault="00000000">
            <w:pPr>
              <w:jc w:val="center"/>
            </w:pPr>
            <w:r>
              <w:t>3</w:t>
            </w:r>
          </w:p>
        </w:tc>
      </w:tr>
      <w:tr w:rsidR="003A2C0B" w14:paraId="55266CBB" w14:textId="77777777" w:rsidTr="00F95673">
        <w:tc>
          <w:tcPr>
            <w:tcW w:w="691" w:type="dxa"/>
          </w:tcPr>
          <w:p w14:paraId="2695C95D" w14:textId="77777777" w:rsidR="003A2C0B" w:rsidRDefault="00000000">
            <w:pPr>
              <w:jc w:val="center"/>
            </w:pPr>
            <w:r>
              <w:t>2</w:t>
            </w:r>
          </w:p>
        </w:tc>
        <w:tc>
          <w:tcPr>
            <w:tcW w:w="1431" w:type="dxa"/>
          </w:tcPr>
          <w:p w14:paraId="5B5ABAB1" w14:textId="0816C7F8" w:rsidR="003A2C0B" w:rsidRDefault="00000000">
            <w:pPr>
              <w:jc w:val="center"/>
            </w:pPr>
            <w:r>
              <w:t>IBM (2023)</w:t>
            </w:r>
            <w:sdt>
              <w:sdtPr>
                <w:id w:val="-1328592263"/>
                <w:citation/>
              </w:sdtPr>
              <w:sdtContent>
                <w:r w:rsidR="00F95673">
                  <w:fldChar w:fldCharType="begin"/>
                </w:r>
                <w:r w:rsidR="00F95673">
                  <w:rPr>
                    <w:lang w:val="vi-VN"/>
                  </w:rPr>
                  <w:instrText xml:space="preserve">CITATION Cor23 \l 1066 </w:instrText>
                </w:r>
                <w:r w:rsidR="00F95673">
                  <w:fldChar w:fldCharType="separate"/>
                </w:r>
                <w:r w:rsidR="00A0030D">
                  <w:rPr>
                    <w:noProof/>
                    <w:lang w:val="vi-VN"/>
                  </w:rPr>
                  <w:t xml:space="preserve"> </w:t>
                </w:r>
                <w:r w:rsidR="00A0030D" w:rsidRPr="00A0030D">
                  <w:rPr>
                    <w:noProof/>
                    <w:lang w:val="vi-VN"/>
                  </w:rPr>
                  <w:t>[2]</w:t>
                </w:r>
                <w:r w:rsidR="00F95673">
                  <w:fldChar w:fldCharType="end"/>
                </w:r>
              </w:sdtContent>
            </w:sdt>
          </w:p>
        </w:tc>
        <w:tc>
          <w:tcPr>
            <w:tcW w:w="1275" w:type="dxa"/>
          </w:tcPr>
          <w:p w14:paraId="42B90433" w14:textId="77777777" w:rsidR="003A2C0B" w:rsidRDefault="00000000">
            <w:pPr>
              <w:jc w:val="center"/>
            </w:pPr>
            <w:r>
              <w:t>4</w:t>
            </w:r>
          </w:p>
        </w:tc>
        <w:tc>
          <w:tcPr>
            <w:tcW w:w="1560" w:type="dxa"/>
          </w:tcPr>
          <w:p w14:paraId="4EE2E195" w14:textId="77777777" w:rsidR="003A2C0B" w:rsidRDefault="00000000">
            <w:pPr>
              <w:jc w:val="center"/>
            </w:pPr>
            <w:r>
              <w:t>5</w:t>
            </w:r>
          </w:p>
        </w:tc>
        <w:tc>
          <w:tcPr>
            <w:tcW w:w="1275" w:type="dxa"/>
          </w:tcPr>
          <w:p w14:paraId="70F4EEC9" w14:textId="77777777" w:rsidR="003A2C0B" w:rsidRDefault="00000000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14:paraId="7F79972B" w14:textId="77777777" w:rsidR="003A2C0B" w:rsidRDefault="00000000">
            <w:pPr>
              <w:jc w:val="center"/>
            </w:pPr>
            <w:r>
              <w:t>5</w:t>
            </w:r>
          </w:p>
        </w:tc>
        <w:tc>
          <w:tcPr>
            <w:tcW w:w="1276" w:type="dxa"/>
          </w:tcPr>
          <w:p w14:paraId="76A93A17" w14:textId="77777777" w:rsidR="003A2C0B" w:rsidRDefault="00000000">
            <w:pPr>
              <w:jc w:val="center"/>
            </w:pPr>
            <w:r>
              <w:t>5</w:t>
            </w:r>
          </w:p>
        </w:tc>
      </w:tr>
      <w:tr w:rsidR="003A2C0B" w14:paraId="697E03A5" w14:textId="77777777" w:rsidTr="00F95673">
        <w:tc>
          <w:tcPr>
            <w:tcW w:w="691" w:type="dxa"/>
          </w:tcPr>
          <w:p w14:paraId="3E261CD2" w14:textId="77777777" w:rsidR="003A2C0B" w:rsidRDefault="00000000">
            <w:pPr>
              <w:jc w:val="center"/>
            </w:pPr>
            <w:r>
              <w:t>3</w:t>
            </w:r>
          </w:p>
        </w:tc>
        <w:tc>
          <w:tcPr>
            <w:tcW w:w="1431" w:type="dxa"/>
          </w:tcPr>
          <w:p w14:paraId="572C8ACA" w14:textId="76870BE3" w:rsidR="003A2C0B" w:rsidRDefault="00000000">
            <w:pPr>
              <w:jc w:val="center"/>
            </w:pPr>
            <w:r>
              <w:t>DataStax (2024)</w:t>
            </w:r>
            <w:sdt>
              <w:sdtPr>
                <w:id w:val="-1900580183"/>
                <w:citation/>
              </w:sdtPr>
              <w:sdtContent>
                <w:r w:rsidR="00F95673">
                  <w:fldChar w:fldCharType="begin"/>
                </w:r>
                <w:r w:rsidR="00F95673">
                  <w:rPr>
                    <w:lang w:val="vi-VN"/>
                  </w:rPr>
                  <w:instrText xml:space="preserve">CITATION Tea24 \l 1066 </w:instrText>
                </w:r>
                <w:r w:rsidR="00F95673">
                  <w:fldChar w:fldCharType="separate"/>
                </w:r>
                <w:r w:rsidR="00A0030D">
                  <w:rPr>
                    <w:noProof/>
                    <w:lang w:val="vi-VN"/>
                  </w:rPr>
                  <w:t xml:space="preserve"> </w:t>
                </w:r>
                <w:r w:rsidR="00A0030D" w:rsidRPr="00A0030D">
                  <w:rPr>
                    <w:noProof/>
                    <w:lang w:val="vi-VN"/>
                  </w:rPr>
                  <w:t>[3]</w:t>
                </w:r>
                <w:r w:rsidR="00F95673">
                  <w:fldChar w:fldCharType="end"/>
                </w:r>
              </w:sdtContent>
            </w:sdt>
          </w:p>
        </w:tc>
        <w:tc>
          <w:tcPr>
            <w:tcW w:w="1275" w:type="dxa"/>
          </w:tcPr>
          <w:p w14:paraId="62D553CD" w14:textId="77777777" w:rsidR="003A2C0B" w:rsidRDefault="00000000">
            <w:pPr>
              <w:jc w:val="center"/>
            </w:pPr>
            <w:r>
              <w:t>5</w:t>
            </w:r>
          </w:p>
        </w:tc>
        <w:tc>
          <w:tcPr>
            <w:tcW w:w="1560" w:type="dxa"/>
          </w:tcPr>
          <w:p w14:paraId="2CFCD94F" w14:textId="77777777" w:rsidR="003A2C0B" w:rsidRDefault="00000000">
            <w:pPr>
              <w:jc w:val="center"/>
            </w:pPr>
            <w:r>
              <w:t>5</w:t>
            </w:r>
          </w:p>
        </w:tc>
        <w:tc>
          <w:tcPr>
            <w:tcW w:w="1275" w:type="dxa"/>
          </w:tcPr>
          <w:p w14:paraId="7B296C82" w14:textId="77777777" w:rsidR="003A2C0B" w:rsidRDefault="00000000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14:paraId="7F34BBFF" w14:textId="77777777" w:rsidR="003A2C0B" w:rsidRDefault="00000000">
            <w:pPr>
              <w:jc w:val="center"/>
            </w:pPr>
            <w:r>
              <w:t>4</w:t>
            </w:r>
          </w:p>
        </w:tc>
        <w:tc>
          <w:tcPr>
            <w:tcW w:w="1276" w:type="dxa"/>
          </w:tcPr>
          <w:p w14:paraId="251D20BF" w14:textId="77777777" w:rsidR="003A2C0B" w:rsidRDefault="00000000">
            <w:pPr>
              <w:jc w:val="center"/>
            </w:pPr>
            <w:r>
              <w:t>3</w:t>
            </w:r>
          </w:p>
        </w:tc>
      </w:tr>
      <w:tr w:rsidR="003A2C0B" w14:paraId="0E490C21" w14:textId="77777777" w:rsidTr="00F95673">
        <w:tc>
          <w:tcPr>
            <w:tcW w:w="691" w:type="dxa"/>
          </w:tcPr>
          <w:p w14:paraId="225EBCFD" w14:textId="77777777" w:rsidR="003A2C0B" w:rsidRDefault="00000000">
            <w:pPr>
              <w:jc w:val="center"/>
            </w:pPr>
            <w:r>
              <w:t>4</w:t>
            </w:r>
          </w:p>
        </w:tc>
        <w:tc>
          <w:tcPr>
            <w:tcW w:w="1431" w:type="dxa"/>
          </w:tcPr>
          <w:p w14:paraId="27850CE7" w14:textId="3C6D1C92" w:rsidR="003A2C0B" w:rsidRDefault="00000000">
            <w:pPr>
              <w:jc w:val="center"/>
            </w:pPr>
            <w:proofErr w:type="spellStart"/>
            <w:r>
              <w:t>arXiv</w:t>
            </w:r>
            <w:proofErr w:type="spellEnd"/>
            <w:r>
              <w:t xml:space="preserve"> (2022)</w:t>
            </w:r>
            <w:sdt>
              <w:sdtPr>
                <w:id w:val="709850745"/>
                <w:citation/>
              </w:sdtPr>
              <w:sdtContent>
                <w:r w:rsidR="00956D38">
                  <w:fldChar w:fldCharType="begin"/>
                </w:r>
                <w:r w:rsidR="00956D38">
                  <w:rPr>
                    <w:lang w:val="vi-VN"/>
                  </w:rPr>
                  <w:instrText xml:space="preserve">CITATION Wis22 \l 1066 </w:instrText>
                </w:r>
                <w:r w:rsidR="00956D38">
                  <w:fldChar w:fldCharType="separate"/>
                </w:r>
                <w:r w:rsidR="00A0030D">
                  <w:rPr>
                    <w:noProof/>
                    <w:lang w:val="vi-VN"/>
                  </w:rPr>
                  <w:t xml:space="preserve"> </w:t>
                </w:r>
                <w:r w:rsidR="00A0030D" w:rsidRPr="00A0030D">
                  <w:rPr>
                    <w:noProof/>
                    <w:lang w:val="vi-VN"/>
                  </w:rPr>
                  <w:t>[4]</w:t>
                </w:r>
                <w:r w:rsidR="00956D38">
                  <w:fldChar w:fldCharType="end"/>
                </w:r>
              </w:sdtContent>
            </w:sdt>
          </w:p>
        </w:tc>
        <w:tc>
          <w:tcPr>
            <w:tcW w:w="1275" w:type="dxa"/>
          </w:tcPr>
          <w:p w14:paraId="364CCF56" w14:textId="77777777" w:rsidR="003A2C0B" w:rsidRDefault="00000000">
            <w:pPr>
              <w:jc w:val="center"/>
            </w:pPr>
            <w:r>
              <w:t>4</w:t>
            </w:r>
          </w:p>
        </w:tc>
        <w:tc>
          <w:tcPr>
            <w:tcW w:w="1560" w:type="dxa"/>
          </w:tcPr>
          <w:p w14:paraId="3BBAF2C7" w14:textId="77777777" w:rsidR="003A2C0B" w:rsidRDefault="00000000">
            <w:pPr>
              <w:jc w:val="center"/>
            </w:pPr>
            <w:r>
              <w:t>5</w:t>
            </w:r>
          </w:p>
        </w:tc>
        <w:tc>
          <w:tcPr>
            <w:tcW w:w="1275" w:type="dxa"/>
          </w:tcPr>
          <w:p w14:paraId="0E00A2A6" w14:textId="77777777" w:rsidR="003A2C0B" w:rsidRDefault="00000000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14:paraId="496C726D" w14:textId="77777777" w:rsidR="003A2C0B" w:rsidRDefault="00000000">
            <w:pPr>
              <w:jc w:val="center"/>
            </w:pPr>
            <w:r>
              <w:t>5</w:t>
            </w:r>
          </w:p>
        </w:tc>
        <w:tc>
          <w:tcPr>
            <w:tcW w:w="1276" w:type="dxa"/>
          </w:tcPr>
          <w:p w14:paraId="606E9B4F" w14:textId="77777777" w:rsidR="003A2C0B" w:rsidRDefault="00000000">
            <w:pPr>
              <w:jc w:val="center"/>
            </w:pPr>
            <w:r>
              <w:t>5</w:t>
            </w:r>
          </w:p>
        </w:tc>
      </w:tr>
      <w:tr w:rsidR="003A2C0B" w14:paraId="0B83981F" w14:textId="77777777" w:rsidTr="00F95673">
        <w:tc>
          <w:tcPr>
            <w:tcW w:w="691" w:type="dxa"/>
          </w:tcPr>
          <w:p w14:paraId="23630D14" w14:textId="77777777" w:rsidR="003A2C0B" w:rsidRDefault="00000000">
            <w:pPr>
              <w:jc w:val="center"/>
            </w:pPr>
            <w:r>
              <w:t>5</w:t>
            </w:r>
          </w:p>
        </w:tc>
        <w:tc>
          <w:tcPr>
            <w:tcW w:w="1431" w:type="dxa"/>
          </w:tcPr>
          <w:p w14:paraId="29F98FDC" w14:textId="0E850713" w:rsidR="003A2C0B" w:rsidRDefault="00000000">
            <w:pPr>
              <w:jc w:val="center"/>
            </w:pPr>
            <w:proofErr w:type="spellStart"/>
            <w:r>
              <w:t>GeeksforGeeks</w:t>
            </w:r>
            <w:proofErr w:type="spellEnd"/>
            <w:r>
              <w:t xml:space="preserve"> (2025)</w:t>
            </w:r>
            <w:sdt>
              <w:sdtPr>
                <w:id w:val="1970630419"/>
                <w:citation/>
              </w:sdtPr>
              <w:sdtContent>
                <w:r w:rsidR="00956D38">
                  <w:fldChar w:fldCharType="begin"/>
                </w:r>
                <w:r w:rsidR="00956D38">
                  <w:rPr>
                    <w:lang w:val="vi-VN"/>
                  </w:rPr>
                  <w:instrText xml:space="preserve"> CITATION Tea25 \l 1066 </w:instrText>
                </w:r>
                <w:r w:rsidR="00956D38">
                  <w:fldChar w:fldCharType="separate"/>
                </w:r>
                <w:r w:rsidR="00A0030D">
                  <w:rPr>
                    <w:noProof/>
                    <w:lang w:val="vi-VN"/>
                  </w:rPr>
                  <w:t xml:space="preserve"> </w:t>
                </w:r>
                <w:r w:rsidR="00A0030D" w:rsidRPr="00A0030D">
                  <w:rPr>
                    <w:noProof/>
                    <w:lang w:val="vi-VN"/>
                  </w:rPr>
                  <w:t>[5]</w:t>
                </w:r>
                <w:r w:rsidR="00956D38">
                  <w:fldChar w:fldCharType="end"/>
                </w:r>
              </w:sdtContent>
            </w:sdt>
          </w:p>
        </w:tc>
        <w:tc>
          <w:tcPr>
            <w:tcW w:w="1275" w:type="dxa"/>
          </w:tcPr>
          <w:p w14:paraId="6610AB5C" w14:textId="77777777" w:rsidR="003A2C0B" w:rsidRDefault="00000000">
            <w:pPr>
              <w:jc w:val="center"/>
            </w:pPr>
            <w:r>
              <w:t>5</w:t>
            </w:r>
          </w:p>
        </w:tc>
        <w:tc>
          <w:tcPr>
            <w:tcW w:w="1560" w:type="dxa"/>
          </w:tcPr>
          <w:p w14:paraId="288ACA5B" w14:textId="77777777" w:rsidR="003A2C0B" w:rsidRDefault="00000000">
            <w:pPr>
              <w:jc w:val="center"/>
            </w:pPr>
            <w:r>
              <w:t>4</w:t>
            </w:r>
          </w:p>
        </w:tc>
        <w:tc>
          <w:tcPr>
            <w:tcW w:w="1275" w:type="dxa"/>
          </w:tcPr>
          <w:p w14:paraId="6F81C80B" w14:textId="77777777" w:rsidR="003A2C0B" w:rsidRDefault="00000000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14:paraId="60E436AB" w14:textId="77777777" w:rsidR="003A2C0B" w:rsidRDefault="00000000">
            <w:pPr>
              <w:jc w:val="center"/>
            </w:pPr>
            <w:r>
              <w:t>4</w:t>
            </w:r>
          </w:p>
        </w:tc>
        <w:tc>
          <w:tcPr>
            <w:tcW w:w="1276" w:type="dxa"/>
          </w:tcPr>
          <w:p w14:paraId="2E1234E2" w14:textId="77777777" w:rsidR="003A2C0B" w:rsidRDefault="00000000">
            <w:pPr>
              <w:jc w:val="center"/>
            </w:pPr>
            <w:r>
              <w:t>4</w:t>
            </w:r>
          </w:p>
        </w:tc>
      </w:tr>
    </w:tbl>
    <w:p w14:paraId="526FA4D1" w14:textId="36BFF662" w:rsidR="003A2C0B" w:rsidRDefault="00000000">
      <w:pPr>
        <w:pStyle w:val="Heading2"/>
      </w:pPr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2012D1AD" w14:textId="77777777" w:rsidR="003A2C0B" w:rsidRDefault="00000000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  <w:r>
        <w:br/>
        <w:t xml:space="preserve">- SQL Databases: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(SQL),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.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>, ERP.</w:t>
      </w:r>
      <w:r>
        <w:br/>
        <w:t xml:space="preserve">- NoSQL Databases: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phi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(Big Data,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web, IoT). Tuy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NoSQL.</w:t>
      </w:r>
      <w:r>
        <w:br/>
      </w:r>
      <w:r>
        <w:br/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: SQL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NoSQL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.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bối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nay,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0D0294F8" w14:textId="48ED55AE" w:rsidR="003A2C0B" w:rsidRDefault="00000000">
      <w:pPr>
        <w:pStyle w:val="Heading2"/>
      </w:pPr>
      <w:r>
        <w:lastRenderedPageBreak/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</w:p>
    <w:p w14:paraId="6399C99B" w14:textId="1E9AA99C" w:rsidR="00A0030D" w:rsidRDefault="00000000">
      <w:pPr>
        <w:rPr>
          <w:lang w:val="vi-VN"/>
        </w:rPr>
      </w:pP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MongoDB, DataStax)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>.</w:t>
      </w:r>
    </w:p>
    <w:p w14:paraId="1FEEF1C1" w14:textId="77777777" w:rsidR="00A0030D" w:rsidRPr="00A0030D" w:rsidRDefault="00A0030D">
      <w:pPr>
        <w:rPr>
          <w:lang w:val="vi-VN"/>
        </w:rPr>
      </w:pPr>
    </w:p>
    <w:sdt>
      <w:sdtPr>
        <w:id w:val="2099894520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14:paraId="1DD82118" w14:textId="5227C1AC" w:rsidR="00A0030D" w:rsidRDefault="00A0030D">
          <w:pPr>
            <w:pStyle w:val="Heading1"/>
            <w:rPr>
              <w:lang w:val="vi-VN"/>
            </w:rPr>
          </w:pPr>
          <w:r>
            <w:rPr>
              <w:lang w:val="vi-VN"/>
            </w:rPr>
            <w:t>TÀI LIỆU THAM KHẢO</w:t>
          </w:r>
        </w:p>
        <w:p w14:paraId="10B12701" w14:textId="77777777" w:rsidR="00A0030D" w:rsidRPr="00A0030D" w:rsidRDefault="00A0030D" w:rsidP="00A0030D">
          <w:pPr>
            <w:rPr>
              <w:lang w:val="vi-VN"/>
            </w:rPr>
          </w:pPr>
        </w:p>
        <w:sdt>
          <w:sdtPr>
            <w:id w:val="111145805"/>
            <w:bibliography/>
          </w:sdtPr>
          <w:sdtContent>
            <w:p w14:paraId="4531D9A6" w14:textId="77777777" w:rsidR="00A0030D" w:rsidRDefault="00A0030D">
              <w:pPr>
                <w:rPr>
                  <w:noProof/>
                  <w:sz w:val="20"/>
                  <w:szCs w:val="20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1"/>
                <w:gridCol w:w="8289"/>
              </w:tblGrid>
              <w:tr w:rsidR="00A0030D" w:rsidRPr="00A0030D" w14:paraId="22275FA4" w14:textId="77777777">
                <w:trPr>
                  <w:divId w:val="7131222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6E8BB3C" w14:textId="4B84EAD5" w:rsidR="00A0030D" w:rsidRDefault="00A0030D">
                    <w:pPr>
                      <w:pStyle w:val="Bibliography"/>
                      <w:rPr>
                        <w:noProof/>
                        <w:sz w:val="24"/>
                        <w:szCs w:val="24"/>
                        <w:lang w:val="vi-VN"/>
                      </w:rPr>
                    </w:pPr>
                    <w:r>
                      <w:rPr>
                        <w:noProof/>
                        <w:lang w:val="vi-VN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963BBC6" w14:textId="77777777" w:rsidR="00A0030D" w:rsidRDefault="00A0030D">
                    <w:pPr>
                      <w:pStyle w:val="Bibliography"/>
                      <w:rPr>
                        <w:noProof/>
                        <w:lang w:val="vi-VN"/>
                      </w:rPr>
                    </w:pPr>
                    <w:r>
                      <w:rPr>
                        <w:noProof/>
                        <w:lang w:val="vi-VN"/>
                      </w:rPr>
                      <w:t>I. MongoDB, “NoSQL vs SQL Databases: What’s the Difference?,” 27 6 2024. [Trực tuyến]. Available: https://www.mongodb.com/resources/basics/databases/nosql-explained/nosql-vs-sql?.</w:t>
                    </w:r>
                  </w:p>
                </w:tc>
              </w:tr>
              <w:tr w:rsidR="00A0030D" w:rsidRPr="00A0030D" w14:paraId="2C7B1245" w14:textId="77777777">
                <w:trPr>
                  <w:divId w:val="7131222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B8CDFB5" w14:textId="77777777" w:rsidR="00A0030D" w:rsidRDefault="00A0030D">
                    <w:pPr>
                      <w:pStyle w:val="Bibliography"/>
                      <w:rPr>
                        <w:noProof/>
                        <w:lang w:val="vi-VN"/>
                      </w:rPr>
                    </w:pPr>
                    <w:r>
                      <w:rPr>
                        <w:noProof/>
                        <w:lang w:val="vi-VN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66F0762" w14:textId="77777777" w:rsidR="00A0030D" w:rsidRDefault="00A0030D">
                    <w:pPr>
                      <w:pStyle w:val="Bibliography"/>
                      <w:rPr>
                        <w:noProof/>
                        <w:lang w:val="vi-VN"/>
                      </w:rPr>
                    </w:pPr>
                    <w:r>
                      <w:rPr>
                        <w:noProof/>
                        <w:lang w:val="vi-VN"/>
                      </w:rPr>
                      <w:t>I. Corporation, “SQL vs. NoSQL Databases: What’s the Difference?,” 2023. [Trực tuyến]. Available: https://www.ibm.com/think/topics/sql-vs-nosql?.</w:t>
                    </w:r>
                  </w:p>
                </w:tc>
              </w:tr>
              <w:tr w:rsidR="00A0030D" w:rsidRPr="00A0030D" w14:paraId="220AD3EE" w14:textId="77777777">
                <w:trPr>
                  <w:divId w:val="7131222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78A87A" w14:textId="77777777" w:rsidR="00A0030D" w:rsidRDefault="00A0030D">
                    <w:pPr>
                      <w:pStyle w:val="Bibliography"/>
                      <w:rPr>
                        <w:noProof/>
                        <w:lang w:val="vi-VN"/>
                      </w:rPr>
                    </w:pPr>
                    <w:r>
                      <w:rPr>
                        <w:noProof/>
                        <w:lang w:val="vi-VN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7E407C5" w14:textId="77777777" w:rsidR="00A0030D" w:rsidRDefault="00A0030D">
                    <w:pPr>
                      <w:pStyle w:val="Bibliography"/>
                      <w:rPr>
                        <w:noProof/>
                        <w:lang w:val="vi-VN"/>
                      </w:rPr>
                    </w:pPr>
                    <w:r>
                      <w:rPr>
                        <w:noProof/>
                        <w:lang w:val="vi-VN"/>
                      </w:rPr>
                      <w:t>D. B. Team, “SQL versus NoSQL: Pros and Cons,” 22 5 2024. [Trực tuyến]. Available: https://www.ibm.com/think/topics/sql-vs-nosql?.</w:t>
                    </w:r>
                  </w:p>
                </w:tc>
              </w:tr>
              <w:tr w:rsidR="00A0030D" w14:paraId="3DCF12CD" w14:textId="77777777">
                <w:trPr>
                  <w:divId w:val="7131222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4711041" w14:textId="77777777" w:rsidR="00A0030D" w:rsidRDefault="00A0030D">
                    <w:pPr>
                      <w:pStyle w:val="Bibliography"/>
                      <w:rPr>
                        <w:noProof/>
                        <w:lang w:val="vi-VN"/>
                      </w:rPr>
                    </w:pPr>
                    <w:r>
                      <w:rPr>
                        <w:noProof/>
                        <w:lang w:val="vi-VN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894955" w14:textId="77777777" w:rsidR="00A0030D" w:rsidRDefault="00A0030D">
                    <w:pPr>
                      <w:pStyle w:val="Bibliography"/>
                      <w:rPr>
                        <w:noProof/>
                        <w:lang w:val="vi-VN"/>
                      </w:rPr>
                    </w:pPr>
                    <w:r>
                      <w:rPr>
                        <w:noProof/>
                        <w:lang w:val="vi-VN"/>
                      </w:rPr>
                      <w:t>a. Wisal Khan et al., “SQL and NoSQL Databases: Software Architectures Performance Analysis,” 2022. [Trực tuyến]. Available: https://arxiv.org/abs/2209.06977.</w:t>
                    </w:r>
                  </w:p>
                </w:tc>
              </w:tr>
              <w:tr w:rsidR="00A0030D" w:rsidRPr="00A0030D" w14:paraId="490F3E11" w14:textId="77777777">
                <w:trPr>
                  <w:divId w:val="7131222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C1122E8" w14:textId="77777777" w:rsidR="00A0030D" w:rsidRDefault="00A0030D">
                    <w:pPr>
                      <w:pStyle w:val="Bibliography"/>
                      <w:rPr>
                        <w:noProof/>
                        <w:lang w:val="vi-VN"/>
                      </w:rPr>
                    </w:pPr>
                    <w:r>
                      <w:rPr>
                        <w:noProof/>
                        <w:lang w:val="vi-VN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74EF5A" w14:textId="77777777" w:rsidR="00A0030D" w:rsidRDefault="00A0030D">
                    <w:pPr>
                      <w:pStyle w:val="Bibliography"/>
                      <w:rPr>
                        <w:noProof/>
                        <w:lang w:val="vi-VN"/>
                      </w:rPr>
                    </w:pPr>
                    <w:r>
                      <w:rPr>
                        <w:noProof/>
                        <w:lang w:val="vi-VN"/>
                      </w:rPr>
                      <w:t>G. E. Team, “Advantages and Disadvantages of using SQL vs. NoSQL Databases,” 23 7 2025. [Trực tuyến]. Available: https://www.geeksforgeeks.org/data-engineering/what-are-the-advantages-and-disadvantages-of-using-sql-vs-nosql-databases/?.</w:t>
                    </w:r>
                  </w:p>
                </w:tc>
              </w:tr>
            </w:tbl>
            <w:p w14:paraId="68CCDB01" w14:textId="77777777" w:rsidR="00A0030D" w:rsidRPr="00A0030D" w:rsidRDefault="00A0030D">
              <w:pPr>
                <w:divId w:val="713122274"/>
                <w:rPr>
                  <w:rFonts w:eastAsia="Times New Roman"/>
                  <w:noProof/>
                  <w:lang w:val="fr-FR"/>
                </w:rPr>
              </w:pPr>
            </w:p>
            <w:p w14:paraId="077A4AC6" w14:textId="6A285204" w:rsidR="00A0030D" w:rsidRDefault="00A0030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5C06507" w14:textId="695B0348" w:rsidR="00956D38" w:rsidRPr="00956D38" w:rsidRDefault="00956D38">
      <w:pPr>
        <w:rPr>
          <w:lang w:val="vi-VN"/>
        </w:rPr>
      </w:pPr>
    </w:p>
    <w:sectPr w:rsidR="00956D38" w:rsidRPr="00956D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2BA502" w14:textId="77777777" w:rsidR="00885FA6" w:rsidRDefault="00885FA6">
      <w:pPr>
        <w:spacing w:line="240" w:lineRule="auto"/>
      </w:pPr>
      <w:r>
        <w:separator/>
      </w:r>
    </w:p>
  </w:endnote>
  <w:endnote w:type="continuationSeparator" w:id="0">
    <w:p w14:paraId="3FE5B26A" w14:textId="77777777" w:rsidR="00885FA6" w:rsidRDefault="00885F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4C4CE2" w14:textId="77777777" w:rsidR="00885FA6" w:rsidRDefault="00885FA6">
      <w:pPr>
        <w:spacing w:after="0"/>
      </w:pPr>
      <w:r>
        <w:separator/>
      </w:r>
    </w:p>
  </w:footnote>
  <w:footnote w:type="continuationSeparator" w:id="0">
    <w:p w14:paraId="6E5181FD" w14:textId="77777777" w:rsidR="00885FA6" w:rsidRDefault="00885FA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586312032">
    <w:abstractNumId w:val="5"/>
  </w:num>
  <w:num w:numId="2" w16cid:durableId="1083186951">
    <w:abstractNumId w:val="3"/>
  </w:num>
  <w:num w:numId="3" w16cid:durableId="1734547340">
    <w:abstractNumId w:val="2"/>
  </w:num>
  <w:num w:numId="4" w16cid:durableId="831288689">
    <w:abstractNumId w:val="4"/>
  </w:num>
  <w:num w:numId="5" w16cid:durableId="1727752993">
    <w:abstractNumId w:val="1"/>
  </w:num>
  <w:num w:numId="6" w16cid:durableId="1828129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A2C0B"/>
    <w:rsid w:val="00885FA6"/>
    <w:rsid w:val="00956D38"/>
    <w:rsid w:val="00980F7E"/>
    <w:rsid w:val="00A0030D"/>
    <w:rsid w:val="00AA1D8D"/>
    <w:rsid w:val="00B47730"/>
    <w:rsid w:val="00BD2D29"/>
    <w:rsid w:val="00CB0664"/>
    <w:rsid w:val="00F95673"/>
    <w:rsid w:val="00FC693F"/>
    <w:rsid w:val="32C3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BF5F4B9"/>
  <w14:defaultImageDpi w14:val="300"/>
  <w15:docId w15:val="{C65B1B2E-19C2-4290-A538-9EA017C8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 w:qFormat="1"/>
    <w:lsdException w:name="List Bullet" w:unhideWhenUsed="1"/>
    <w:lsdException w:name="List Number" w:unhideWhenUsed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/>
    <w:lsdException w:name="Body Text Indent" w:semiHidden="1" w:unhideWhenUsed="1"/>
    <w:lsdException w:name="List Continue" w:unhideWhenUsed="1" w:qFormat="1"/>
    <w:lsdException w:name="List Continue 2" w:unhideWhenUsed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qFormat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qFormat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qFormat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qFormat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qFormat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qFormat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qFormat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paragraph" w:styleId="Bibliography">
    <w:name w:val="Bibliography"/>
    <w:basedOn w:val="Normal"/>
    <w:next w:val="Normal"/>
    <w:uiPriority w:val="37"/>
    <w:unhideWhenUsed/>
    <w:rsid w:val="00A00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Tea24</b:Tag>
    <b:SourceType>DocumentFromInternetSite</b:SourceType>
    <b:Guid>{E7467FFB-4B5C-4AB9-B39D-7AA3A792F5F2}</b:Guid>
    <b:Author>
      <b:Author>
        <b:NameList>
          <b:Person>
            <b:Last>Team</b:Last>
            <b:First>DataStax</b:First>
            <b:Middle>Blog</b:Middle>
          </b:Person>
        </b:NameList>
      </b:Author>
    </b:Author>
    <b:Title>SQL versus NoSQL: Pros and Cons</b:Title>
    <b:Year>2024</b:Year>
    <b:Month>5</b:Month>
    <b:Day>22</b:Day>
    <b:URL>https://www.ibm.com/think/topics/sql-vs-nosql?</b:URL>
    <b:InternetSiteTitle>IBM</b:InternetSiteTitle>
    <b:RefOrder>3</b:RefOrder>
  </b:Source>
  <b:Source>
    <b:Tag>Cor23</b:Tag>
    <b:SourceType>DocumentFromInternetSite</b:SourceType>
    <b:Guid>{6757C64D-5275-40B5-862A-BDC213BC6CA7}</b:Guid>
    <b:Author>
      <b:Author>
        <b:NameList>
          <b:Person>
            <b:Last>Corporation</b:Last>
            <b:First>IBM</b:First>
          </b:Person>
        </b:NameList>
      </b:Author>
    </b:Author>
    <b:Title>SQL vs. NoSQL Databases: What’s the Difference?</b:Title>
    <b:Year>2023</b:Year>
    <b:URL>https://www.ibm.com/think/topics/sql-vs-nosql?</b:URL>
    <b:InternetSiteTitle>IBM</b:InternetSiteTitle>
    <b:RefOrder>2</b:RefOrder>
  </b:Source>
  <b:Source>
    <b:Tag>Mon24</b:Tag>
    <b:SourceType>DocumentFromInternetSite</b:SourceType>
    <b:Guid>{E35ED647-F405-4B20-A5DE-BC47792CD5C7}</b:Guid>
    <b:Author>
      <b:Author>
        <b:NameList>
          <b:Person>
            <b:Last>MongoDB</b:Last>
            <b:First>Inc.</b:First>
          </b:Person>
        </b:NameList>
      </b:Author>
    </b:Author>
    <b:Title>NoSQL vs SQL Databases: What’s the Difference?</b:Title>
    <b:Year>2024</b:Year>
    <b:Month>6</b:Month>
    <b:Day>27</b:Day>
    <b:URL>https://www.mongodb.com/resources/basics/databases/nosql-explained/nosql-vs-sql?</b:URL>
    <b:InternetSiteTitle>MongoDB</b:InternetSiteTitle>
    <b:RefOrder>1</b:RefOrder>
  </b:Source>
  <b:Source>
    <b:Tag>Wis22</b:Tag>
    <b:SourceType>DocumentFromInternetSite</b:SourceType>
    <b:Guid>{B8956F44-8237-4D9E-9842-613EE568F0D8}</b:Guid>
    <b:Title>SQL and NoSQL Databases: Software Architectures Performance Analysis</b:Title>
    <b:Year>2022</b:Year>
    <b:URL>https://arxiv.org/abs/2209.06977</b:URL>
    <b:Author>
      <b:Author>
        <b:NameList>
          <b:Person>
            <b:Last>Wisal Khan et al.</b:Last>
            <b:First>arXiv</b:First>
          </b:Person>
        </b:NameList>
      </b:Author>
    </b:Author>
    <b:InternetSiteTitle>Arxiv</b:InternetSiteTitle>
    <b:RefOrder>4</b:RefOrder>
  </b:Source>
  <b:Source>
    <b:Tag>Tea25</b:Tag>
    <b:SourceType>DocumentFromInternetSite</b:SourceType>
    <b:Guid>{375BC1A5-B160-41F3-A951-8CAFEECD5773}</b:Guid>
    <b:Author>
      <b:Author>
        <b:NameList>
          <b:Person>
            <b:Last>Team</b:Last>
            <b:First>GeeksforGeeks</b:First>
            <b:Middle>Editorial</b:Middle>
          </b:Person>
        </b:NameList>
      </b:Author>
    </b:Author>
    <b:Title>Advantages and Disadvantages of using SQL vs. NoSQL Databases</b:Title>
    <b:Year>2025</b:Year>
    <b:Month>7</b:Month>
    <b:Day>23</b:Day>
    <b:URL>https://www.geeksforgeeks.org/data-engineering/what-are-the-advantages-and-disadvantages-of-using-sql-vs-nosql-databases/?</b:URL>
    <b:InternetSiteTitle>geeksforgeeks</b:InternetSiteTitle>
    <b:RefOrder>5</b:RefOrder>
  </b:Source>
</b:Sources>
</file>

<file path=customXml/itemProps1.xml><?xml version="1.0" encoding="utf-8"?>
<ds:datastoreItem xmlns:ds="http://schemas.openxmlformats.org/officeDocument/2006/customXml" ds:itemID="{46A39A81-A239-4E39-894C-1549E6F45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python-docx</dc:creator>
  <dc:description>generated by python-docx</dc:description>
  <cp:lastModifiedBy>Lâm Sang</cp:lastModifiedBy>
  <cp:revision>2</cp:revision>
  <dcterms:created xsi:type="dcterms:W3CDTF">2025-10-23T03:32:00Z</dcterms:created>
  <dcterms:modified xsi:type="dcterms:W3CDTF">2025-10-23T03:32:00Z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84A2CCF85FC14E65BB3329E975218F02_13</vt:lpwstr>
  </property>
</Properties>
</file>