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33.png" ContentType="image/png"/>
  <Override PartName="/word/media/rId34.png" ContentType="image/png"/>
  <Override PartName="/word/media/rId29.png" ContentType="image/png"/>
  <Override PartName="/word/media/rId30.png" ContentType="image/png"/>
  <Override PartName="/word/media/rId31.png" ContentType="image/png"/>
  <Override PartName="/word/media/rId32.png" ContentType="image/png"/>
  <Override PartName="/word/media/rId35.png" ContentType="image/png"/>
  <Override PartName="/word/media/rId36.png" ContentType="image/png"/>
  <Override PartName="/word/media/rId28.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Exploring</w:t>
      </w:r>
      <w:r>
        <w:t xml:space="preserve"> </w:t>
      </w:r>
      <w:r>
        <w:t xml:space="preserve">personality</w:t>
      </w:r>
      <w:r>
        <w:t xml:space="preserve"> </w:t>
      </w:r>
      <w:r>
        <w:t xml:space="preserve">scores</w:t>
      </w:r>
      <w:r>
        <w:t xml:space="preserve"> </w:t>
      </w:r>
      <w:r>
        <w:t xml:space="preserve">and</w:t>
      </w:r>
      <w:r>
        <w:t xml:space="preserve"> </w:t>
      </w:r>
      <w:r>
        <w:t xml:space="preserve">drug</w:t>
      </w:r>
      <w:r>
        <w:t xml:space="preserve"> </w:t>
      </w:r>
      <w:r>
        <w:t xml:space="preserve">use:</w:t>
      </w:r>
      <w:r>
        <w:t xml:space="preserve"> </w:t>
      </w:r>
      <w:r>
        <w:t xml:space="preserve">factors</w:t>
      </w:r>
      <w:r>
        <w:t xml:space="preserve"> </w:t>
      </w:r>
      <w:r>
        <w:t xml:space="preserve">that</w:t>
      </w:r>
      <w:r>
        <w:t xml:space="preserve"> </w:t>
      </w:r>
      <w:r>
        <w:t xml:space="preserve">contribute</w:t>
      </w:r>
      <w:r>
        <w:t xml:space="preserve"> </w:t>
      </w:r>
      <w:r>
        <w:t xml:space="preserve">to</w:t>
      </w:r>
      <w:r>
        <w:t xml:space="preserve"> </w:t>
      </w:r>
      <w:r>
        <w:t xml:space="preserve">increased</w:t>
      </w:r>
      <w:r>
        <w:t xml:space="preserve"> </w:t>
      </w:r>
      <w:r>
        <w:t xml:space="preserve">use</w:t>
      </w:r>
      <w:r>
        <w:t xml:space="preserve"> </w:t>
      </w:r>
      <w:r>
        <w:t xml:space="preserve">of</w:t>
      </w:r>
      <w:r>
        <w:t xml:space="preserve"> </w:t>
      </w:r>
      <w:r>
        <w:t xml:space="preserve">psilocybin</w:t>
      </w:r>
      <w:r>
        <w:t xml:space="preserve"> </w:t>
      </w:r>
      <w:r>
        <w:t xml:space="preserve">(magic</w:t>
      </w:r>
      <w:r>
        <w:t xml:space="preserve"> </w:t>
      </w:r>
      <w:r>
        <w:t xml:space="preserve">mushrooms)</w:t>
      </w:r>
    </w:p>
    <w:p>
      <w:pPr>
        <w:pStyle w:val="Author"/>
      </w:pPr>
      <w:r>
        <w:t xml:space="preserve">G.I.</w:t>
      </w:r>
      <w:r>
        <w:t xml:space="preserve"> </w:t>
      </w:r>
      <w:r>
        <w:t xml:space="preserve">Joe:</w:t>
      </w:r>
      <w:r>
        <w:t xml:space="preserve"> </w:t>
      </w:r>
      <w:r>
        <w:t xml:space="preserve">Isa</w:t>
      </w:r>
      <w:r>
        <w:t xml:space="preserve"> </w:t>
      </w:r>
      <w:r>
        <w:t xml:space="preserve">Rundell</w:t>
      </w:r>
      <w:r>
        <w:t xml:space="preserve"> </w:t>
      </w:r>
      <w:r>
        <w:t xml:space="preserve">and</w:t>
      </w:r>
      <w:r>
        <w:t xml:space="preserve"> </w:t>
      </w:r>
      <w:r>
        <w:t xml:space="preserve">Grace</w:t>
      </w:r>
      <w:r>
        <w:t xml:space="preserve"> </w:t>
      </w:r>
      <w:r>
        <w:t xml:space="preserve">Vo</w:t>
      </w:r>
    </w:p>
    <w:p>
      <w:pPr>
        <w:pStyle w:val="Date"/>
      </w:pPr>
      <w:r>
        <w:t xml:space="preserve">November</w:t>
      </w:r>
      <w:r>
        <w:t xml:space="preserve"> </w:t>
      </w:r>
      <w:r>
        <w:t xml:space="preserve">16th,</w:t>
      </w:r>
      <w:r>
        <w:t xml:space="preserve"> </w:t>
      </w:r>
      <w:r>
        <w:t xml:space="preserve">2021</w:t>
      </w:r>
    </w:p>
    <w:p>
      <w:pPr>
        <w:pStyle w:val="FirstParagraph"/>
      </w:pPr>
      <w:r>
        <w:t xml:space="preserve">Abstract</w:t>
      </w:r>
      <w:r>
        <w:t xml:space="preserve"> </w:t>
      </w:r>
      <w:r>
        <w:t xml:space="preserve">This paper investigates which factors are linked to psilocybin use, more commonly referred to as magic mushrooms. This data set comes from a repository at the University of California at Irvine and amasses figures pertaining to the consumption of 18 legal and illegal drugs and scores across 7 personality traits of 1885 participants hailing from predominantly white, English speaking countries. We chose to focus on the relationship between the various personality scores, gender, ethnicity, education, age, country of residence and mushroom use. We hypothesize that participants identifying as white males that live in the United States and are in the youngest age group, ages 18-24, with an education status of</w:t>
      </w:r>
      <w:r>
        <w:t xml:space="preserve"> </w:t>
      </w:r>
      <w:r>
        <w:t xml:space="preserve">“</w:t>
      </w:r>
      <w:r>
        <w:t xml:space="preserve">attended some college or university but have no certificate or degree</w:t>
      </w:r>
      <w:r>
        <w:t xml:space="preserve">”</w:t>
      </w:r>
      <w:r>
        <w:t xml:space="preserve"> </w:t>
      </w:r>
      <w:r>
        <w:t xml:space="preserve">will exhibit the highest average mushroom use. Further, with regards to personality scores, we hypothesize that the sensation seeking personality is the most positively correlated to mushroom use. We concluded that 1) male gender, age category 18-24 years, and an education status of</w:t>
      </w:r>
      <w:r>
        <w:t xml:space="preserve"> </w:t>
      </w:r>
      <w:r>
        <w:t xml:space="preserve">“</w:t>
      </w:r>
      <w:r>
        <w:t xml:space="preserve">attended some college or university but have no certificate or degree</w:t>
      </w:r>
      <w:r>
        <w:t xml:space="preserve">”</w:t>
      </w:r>
      <w:r>
        <w:t xml:space="preserve"> </w:t>
      </w:r>
      <w:r>
        <w:t xml:space="preserve">are all the most statistically significant indicators of mushroom use, and 2) openness to experience is the personality trait that has the greatest statistically significant correlation to mushroom use.</w:t>
      </w:r>
    </w:p>
    <w:p>
      <w:pPr>
        <w:pStyle w:val="BodyText"/>
      </w:pPr>
      <w:r>
        <w:t xml:space="preserve">Background and Significance</w:t>
      </w:r>
      <w:r>
        <w:t xml:space="preserve"> </w:t>
      </w:r>
      <w:r>
        <w:t xml:space="preserve">The usage of drugs, ranging from the legal and rarely immediately dangerous to one’s health to the illegal and sometimes life-threatening, is driven by various motivations with consequences and repercussions of varying degrees. According to the Australian Alcohol and Drug Foundation, mushrooms, specifically, are consumed for their hallucinogenic effects that can temporarily</w:t>
      </w:r>
      <w:r>
        <w:t xml:space="preserve"> </w:t>
      </w:r>
      <w:r>
        <w:t xml:space="preserve">“</w:t>
      </w:r>
      <w:r>
        <w:t xml:space="preserve">trigger changes in perception, mood and thought.</w:t>
      </w:r>
      <w:r>
        <w:t xml:space="preserve">”</w:t>
      </w:r>
      <w:r>
        <w:t xml:space="preserve"> </w:t>
      </w:r>
      <w:r>
        <w:t xml:space="preserve">As with any drug, there are inherent risks associated with the decision to use mushrooms, and a study conducted by Nicholas Turiano et al.,</w:t>
      </w:r>
      <w:r>
        <w:t xml:space="preserve"> </w:t>
      </w:r>
      <w:r>
        <w:t xml:space="preserve">“</w:t>
      </w:r>
      <w:r>
        <w:t xml:space="preserve">Personality and Substance Use in Midlife: Conscientiousness as a Moderator and the Effects of Trait Change,</w:t>
      </w:r>
      <w:r>
        <w:t xml:space="preserve">”</w:t>
      </w:r>
      <w:r>
        <w:t xml:space="preserve"> </w:t>
      </w:r>
      <w:r>
        <w:t xml:space="preserve">highlights the cruciality of examining the links between personality and substance abuse, for the former is a prime predictor of the latter across stages of life (Turiano et al., 2012). We are interested in the ways in which the personality traits neuroticism, extraversion, openness to experience, agreeableness, and conscientiousness, impulsivity, and sensation seeking may or may not influence or be correlated to more frequent mushroom use. Additionally, we are interested in examining whether any particular demographics, for example, age, gender, education status, or country of residence, might have a similar significant correlation to mushroom use. The United States Drug Enforcement Administration (DEA) classifies mushrooms as a schedule I substance which is defined as</w:t>
      </w:r>
      <w:r>
        <w:t xml:space="preserve"> </w:t>
      </w:r>
      <w:r>
        <w:t xml:space="preserve">“</w:t>
      </w:r>
      <w:r>
        <w:t xml:space="preserve">[a drug] with no currently accepted medical use and a high potential for abuse,</w:t>
      </w:r>
      <w:r>
        <w:t xml:space="preserve">”</w:t>
      </w:r>
      <w:r>
        <w:t xml:space="preserve"> </w:t>
      </w:r>
      <w:r>
        <w:t xml:space="preserve">therefore, a deeper understanding of such interrelationships can better inform what demographics or personalities may require preventive health measures to avoid psychological dependence or potential drug abuse given the high risk mushrooms possess.</w:t>
      </w:r>
    </w:p>
    <w:p>
      <w:pPr>
        <w:pStyle w:val="BodyText"/>
      </w:pPr>
      <w:r>
        <w:t xml:space="preserve">Data</w:t>
      </w:r>
      <w:r>
        <w:t xml:space="preserve"> </w:t>
      </w:r>
      <w:r>
        <w:t xml:space="preserve">These data were collected in the United Kingdom between March 2011 and March 2012 using an online survey and were subsequently donated to the University of California at Irvine in 2016. The data include observations on both legal and illegal drugs: alcohol, amphetamines, amyl nitrite, benzodiazepine, cannabis, chocolate, cocaine, caffeine, crack, ecstasy, heroin, ketamine, legal highs, LSD, methadone, mushrooms, nicotine, and a class of volatile substance abuse. The various personality traits, neuroticism, extraversion, openness to experience, agreeableness, and conscientiousness, were quantified using the NEO-FFI-R measurement, and impulsivity and sensation seeking attributes were measured using BIS-11 and ImpSS, respectively. The dataset also contains the binary gender identity, age category, ethnicity, country of residence, and educational background of all of the participants.</w:t>
      </w:r>
    </w:p>
    <w:p>
      <w:pPr>
        <w:pStyle w:val="BodyText"/>
      </w:pPr>
      <w:r>
        <w:t xml:space="preserve">Methods</w:t>
      </w:r>
      <w:r>
        <w:t xml:space="preserve"> </w:t>
      </w:r>
      <w:r>
        <w:t xml:space="preserve">a) Data Collection and Variables</w:t>
      </w:r>
      <w:r>
        <w:t xml:space="preserve"> </w:t>
      </w:r>
      <w:r>
        <w:t xml:space="preserve">The original dataset has seven ratings for drug use: never used, used over a decade ago, used in last decade, used in last year, used in last month, used in last week, and used in last day. In order to streamline the data, we created new classifications of user and non-user in which</w:t>
      </w:r>
      <w:r>
        <w:t xml:space="preserve"> </w:t>
      </w:r>
      <w:r>
        <w:t xml:space="preserve">“</w:t>
      </w:r>
      <w:r>
        <w:t xml:space="preserve">never used</w:t>
      </w:r>
      <w:r>
        <w:t xml:space="preserve">”</w:t>
      </w:r>
      <w:r>
        <w:t xml:space="preserve"> </w:t>
      </w:r>
      <w:r>
        <w:t xml:space="preserve">and</w:t>
      </w:r>
      <w:r>
        <w:t xml:space="preserve"> </w:t>
      </w:r>
      <w:r>
        <w:t xml:space="preserve">“</w:t>
      </w:r>
      <w:r>
        <w:t xml:space="preserve">used over a decade ago</w:t>
      </w:r>
      <w:r>
        <w:t xml:space="preserve">”</w:t>
      </w:r>
      <w:r>
        <w:t xml:space="preserve"> </w:t>
      </w:r>
      <w:r>
        <w:t xml:space="preserve">are considered</w:t>
      </w:r>
      <w:r>
        <w:t xml:space="preserve"> </w:t>
      </w:r>
      <w:r>
        <w:t xml:space="preserve">“</w:t>
      </w:r>
      <w:r>
        <w:t xml:space="preserve">non-user</w:t>
      </w:r>
      <w:r>
        <w:t xml:space="preserve">”</w:t>
      </w:r>
      <w:r>
        <w:t xml:space="preserve"> </w:t>
      </w:r>
      <w:r>
        <w:t xml:space="preserve">and all other ratings are considered</w:t>
      </w:r>
      <w:r>
        <w:t xml:space="preserve"> </w:t>
      </w:r>
      <w:r>
        <w:t xml:space="preserve">“</w:t>
      </w:r>
      <w:r>
        <w:t xml:space="preserve">user.</w:t>
      </w:r>
      <w:r>
        <w:t xml:space="preserve">”</w:t>
      </w:r>
      <w:r>
        <w:t xml:space="preserve"> </w:t>
      </w:r>
      <w:r>
        <w:t xml:space="preserve">Additionally, we created a new dataframe, assigning numerical values to all observations as described below:</w:t>
      </w:r>
    </w:p>
    <w:p>
      <w:pPr>
        <w:pStyle w:val="BodyText"/>
      </w:pPr>
      <w:r>
        <w:t xml:space="preserve">#variables and numerical values go here</w:t>
      </w:r>
    </w:p>
    <w:p>
      <w:pPr>
        <w:numPr>
          <w:ilvl w:val="0"/>
          <w:numId w:val="1001"/>
        </w:numPr>
        <w:pStyle w:val="Compact"/>
      </w:pPr>
      <w:r>
        <w:t xml:space="preserve">Exploratory Data Analysis</w:t>
      </w:r>
    </w:p>
    <w:p>
      <w:pPr>
        <w:pStyle w:val="FirstParagraph"/>
      </w:pPr>
      <w:r>
        <w:drawing>
          <wp:inline>
            <wp:extent cx="2772075" cy="1848050"/>
            <wp:effectExtent b="0" l="0" r="0" t="0"/>
            <wp:docPr descr="" title="" id="1" name="Picture"/>
            <a:graphic>
              <a:graphicData uri="http://schemas.openxmlformats.org/drawingml/2006/picture">
                <pic:pic>
                  <pic:nvPicPr>
                    <pic:cNvPr descr="finalreport_template_files/figure-docx/avg-drug-use-1.png" id="0" name="Picture"/>
                    <pic:cNvPicPr>
                      <a:picLocks noChangeArrowheads="1" noChangeAspect="1"/>
                    </pic:cNvPicPr>
                  </pic:nvPicPr>
                  <pic:blipFill>
                    <a:blip r:embed="rId20"/>
                    <a:stretch>
                      <a:fillRect/>
                    </a:stretch>
                  </pic:blipFill>
                  <pic:spPr bwMode="auto">
                    <a:xfrm>
                      <a:off x="0" y="0"/>
                      <a:ext cx="2772075" cy="1848050"/>
                    </a:xfrm>
                    <a:prstGeom prst="rect">
                      <a:avLst/>
                    </a:prstGeom>
                    <a:noFill/>
                    <a:ln w="9525">
                      <a:noFill/>
                      <a:headEnd/>
                      <a:tailEnd/>
                    </a:ln>
                  </pic:spPr>
                </pic:pic>
              </a:graphicData>
            </a:graphic>
          </wp:inline>
        </w:drawing>
      </w:r>
      <w:r>
        <w:t xml:space="preserve"> </w:t>
      </w:r>
      <w:r>
        <w:t xml:space="preserve">Before narrowing down the data to examine solely the use of mushrooms, we compared the average use of all drugs included in the data. The bar graph illustrates legal drugs like chocolate and caffeine as the most frequently used by participants in the dataset with use declining as the drugs become illegal and inherently more dangerous to one’s health.</w:t>
      </w:r>
    </w:p>
    <w:p>
      <w:pPr>
        <w:pStyle w:val="TableCaption"/>
      </w:pPr>
      <w:r>
        <w:t xml:space="preserve">Difference in Number of Users and Non-Users by Drug</w:t>
      </w:r>
    </w:p>
    <w:tbl>
      <w:tblPr>
        <w:tblStyle w:val="Table"/>
        <w:tblW w:type="pct" w:w="0.0"/>
        <w:tblLook w:firstRow="1" w:lastRow="0" w:firstColumn="0" w:lastColumn="0" w:noHBand="0" w:noVBand="0" w:val="0020"/>
        <w:tblCaption w:val="Difference in Number of Users and Non-Users by Drug"/>
      </w:tblPr>
      <w:tblGrid/>
      <w:tr>
        <w:tc>
          <w:p>
            <w:pPr>
              <w:pStyle w:val="Compact"/>
              <w:jc w:val="right"/>
            </w:pPr>
            <w:r>
              <w:t xml:space="preserve">diff</w:t>
            </w:r>
          </w:p>
        </w:tc>
        <w:tc>
          <w:p>
            <w:pPr>
              <w:pStyle w:val="Compact"/>
              <w:jc w:val="left"/>
            </w:pPr>
            <w:r>
              <w:t xml:space="preserve">drug</w:t>
            </w:r>
          </w:p>
        </w:tc>
      </w:tr>
      <w:tr>
        <w:tc>
          <w:p>
            <w:pPr>
              <w:pStyle w:val="Compact"/>
              <w:jc w:val="right"/>
            </w:pPr>
            <w:r>
              <w:t xml:space="preserve">349</w:t>
            </w:r>
          </w:p>
        </w:tc>
        <w:tc>
          <w:p>
            <w:pPr>
              <w:pStyle w:val="Compact"/>
              <w:jc w:val="left"/>
            </w:pPr>
            <w:r>
              <w:t xml:space="preserve">Benzos_User</w:t>
            </w:r>
          </w:p>
        </w:tc>
      </w:tr>
      <w:tr>
        <w:tc>
          <w:p>
            <w:pPr>
              <w:pStyle w:val="Compact"/>
              <w:jc w:val="right"/>
            </w:pPr>
            <w:r>
              <w:t xml:space="preserve">361</w:t>
            </w:r>
          </w:p>
        </w:tc>
        <w:tc>
          <w:p>
            <w:pPr>
              <w:pStyle w:val="Compact"/>
              <w:jc w:val="left"/>
            </w:pPr>
            <w:r>
              <w:t xml:space="preserve">LegalHighs_User</w:t>
            </w:r>
          </w:p>
        </w:tc>
      </w:tr>
      <w:tr>
        <w:tc>
          <w:p>
            <w:pPr>
              <w:pStyle w:val="Compact"/>
              <w:jc w:val="right"/>
            </w:pPr>
            <w:r>
              <w:t xml:space="preserve">383</w:t>
            </w:r>
          </w:p>
        </w:tc>
        <w:tc>
          <w:p>
            <w:pPr>
              <w:pStyle w:val="Compact"/>
              <w:jc w:val="left"/>
            </w:pPr>
            <w:r>
              <w:t xml:space="preserve">Ecstasy_User</w:t>
            </w:r>
          </w:p>
        </w:tc>
      </w:tr>
      <w:tr>
        <w:tc>
          <w:p>
            <w:pPr>
              <w:pStyle w:val="Compact"/>
              <w:jc w:val="right"/>
            </w:pPr>
            <w:r>
              <w:t xml:space="preserve">497</w:t>
            </w:r>
          </w:p>
        </w:tc>
        <w:tc>
          <w:p>
            <w:pPr>
              <w:pStyle w:val="Compact"/>
              <w:jc w:val="left"/>
            </w:pPr>
            <w:r>
              <w:t xml:space="preserve">Mushrooms_User</w:t>
            </w:r>
          </w:p>
        </w:tc>
      </w:tr>
      <w:tr>
        <w:tc>
          <w:p>
            <w:pPr>
              <w:pStyle w:val="Compact"/>
              <w:jc w:val="right"/>
            </w:pPr>
            <w:r>
              <w:t xml:space="preserve">511</w:t>
            </w:r>
          </w:p>
        </w:tc>
        <w:tc>
          <w:p>
            <w:pPr>
              <w:pStyle w:val="Compact"/>
              <w:jc w:val="left"/>
            </w:pPr>
            <w:r>
              <w:t xml:space="preserve">Cocaine_User</w:t>
            </w:r>
          </w:p>
        </w:tc>
      </w:tr>
      <w:tr>
        <w:tc>
          <w:p>
            <w:pPr>
              <w:pStyle w:val="Compact"/>
              <w:jc w:val="right"/>
            </w:pPr>
            <w:r>
              <w:t xml:space="preserve">529</w:t>
            </w:r>
          </w:p>
        </w:tc>
        <w:tc>
          <w:p>
            <w:pPr>
              <w:pStyle w:val="Compact"/>
              <w:jc w:val="left"/>
            </w:pPr>
            <w:r>
              <w:t xml:space="preserve">Amphetamine_User</w:t>
            </w:r>
          </w:p>
        </w:tc>
      </w:tr>
    </w:tbl>
    <w:p>
      <w:pPr>
        <w:pStyle w:val="BodyText"/>
      </w:pPr>
      <w:r>
        <w:t xml:space="preserve">This table reports the difference between user and non-user by drug in order to get a better sense of which drugs are better represented in the data which helped inform which drug we chose for further analysis, mushrooms.</w:t>
      </w:r>
    </w:p>
    <w:p>
      <w:pPr>
        <w:pStyle w:val="BodyText"/>
      </w:pPr>
      <w:r>
        <w:drawing>
          <wp:inline>
            <wp:extent cx="3696101" cy="3696101"/>
            <wp:effectExtent b="0" l="0" r="0" t="0"/>
            <wp:docPr descr="" title="" id="1" name="Picture"/>
            <a:graphic>
              <a:graphicData uri="http://schemas.openxmlformats.org/drawingml/2006/picture">
                <pic:pic>
                  <pic:nvPicPr>
                    <pic:cNvPr descr="finalreport_template_files/figure-docx/heatmap-1.png" id="0" name="Picture"/>
                    <pic:cNvPicPr>
                      <a:picLocks noChangeArrowheads="1" noChangeAspect="1"/>
                    </pic:cNvPicPr>
                  </pic:nvPicPr>
                  <pic:blipFill>
                    <a:blip r:embed="rId21"/>
                    <a:stretch>
                      <a:fillRect/>
                    </a:stretch>
                  </pic:blipFill>
                  <pic:spPr bwMode="auto">
                    <a:xfrm>
                      <a:off x="0" y="0"/>
                      <a:ext cx="3696101" cy="3696101"/>
                    </a:xfrm>
                    <a:prstGeom prst="rect">
                      <a:avLst/>
                    </a:prstGeom>
                    <a:noFill/>
                    <a:ln w="9525">
                      <a:noFill/>
                      <a:headEnd/>
                      <a:tailEnd/>
                    </a:ln>
                  </pic:spPr>
                </pic:pic>
              </a:graphicData>
            </a:graphic>
          </wp:inline>
        </w:drawing>
      </w:r>
      <w:r>
        <w:t xml:space="preserve"> </w:t>
      </w:r>
      <w:r>
        <w:t xml:space="preserve">This correlation matrix summarizes the data by allowing us to compare at a quick glance the correlation coefficients between the variables of interest which allowed us to select certain relationships to analyze further to see if the correlations were in fact statistically significant or not.</w:t>
      </w:r>
    </w:p>
    <w:p>
      <w:pPr>
        <w:numPr>
          <w:ilvl w:val="0"/>
          <w:numId w:val="1002"/>
        </w:numPr>
        <w:pStyle w:val="Compact"/>
      </w:pPr>
      <w:r>
        <w:t xml:space="preserve">Analytical Methods</w:t>
      </w:r>
    </w:p>
    <w:p>
      <w:pPr>
        <w:pStyle w:val="FirstParagraph"/>
      </w:pPr>
      <w:r>
        <w:t xml:space="preserve">#after reviewing the visualizations for the demographics and personality traits and determining which traits are more linked to mushroom use…</w:t>
      </w:r>
    </w:p>
    <w:p>
      <w:pPr>
        <w:pStyle w:val="SourceCode"/>
      </w:pPr>
      <w:r>
        <w:rPr>
          <w:rStyle w:val="VerbatimChar"/>
        </w:rPr>
        <w:t xml:space="preserve">## </w:t>
      </w:r>
      <w:r>
        <w:br/>
      </w:r>
      <w:r>
        <w:rPr>
          <w:rStyle w:val="VerbatimChar"/>
        </w:rPr>
        <w:t xml:space="preserve">##  Fisher's Exact Test for Count Data</w:t>
      </w:r>
      <w:r>
        <w:br/>
      </w:r>
      <w:r>
        <w:rPr>
          <w:rStyle w:val="VerbatimChar"/>
        </w:rPr>
        <w:t xml:space="preserve">## </w:t>
      </w:r>
      <w:r>
        <w:br/>
      </w:r>
      <w:r>
        <w:rPr>
          <w:rStyle w:val="VerbatimChar"/>
        </w:rPr>
        <w:t xml:space="preserve">## data:  drug_clean_2$Gender and drug_clean_2$Mushrooms_User</w:t>
      </w:r>
      <w:r>
        <w:br/>
      </w:r>
      <w:r>
        <w:rPr>
          <w:rStyle w:val="VerbatimChar"/>
        </w:rPr>
        <w:t xml:space="preserve">## p-value &lt; 2.2e-16</w:t>
      </w:r>
      <w:r>
        <w:br/>
      </w:r>
      <w:r>
        <w:rPr>
          <w:rStyle w:val="VerbatimChar"/>
        </w:rPr>
        <w:t xml:space="preserve">## alternative hypothesis: true odds ratio is not equal to 1</w:t>
      </w:r>
      <w:r>
        <w:br/>
      </w:r>
      <w:r>
        <w:rPr>
          <w:rStyle w:val="VerbatimChar"/>
        </w:rPr>
        <w:t xml:space="preserve">## 95 percent confidence interval:</w:t>
      </w:r>
      <w:r>
        <w:br/>
      </w:r>
      <w:r>
        <w:rPr>
          <w:rStyle w:val="VerbatimChar"/>
        </w:rPr>
        <w:t xml:space="preserve">##  2.426426 3.624594</w:t>
      </w:r>
      <w:r>
        <w:br/>
      </w:r>
      <w:r>
        <w:rPr>
          <w:rStyle w:val="VerbatimChar"/>
        </w:rPr>
        <w:t xml:space="preserve">## sample estimates:</w:t>
      </w:r>
      <w:r>
        <w:br/>
      </w:r>
      <w:r>
        <w:rPr>
          <w:rStyle w:val="VerbatimChar"/>
        </w:rPr>
        <w:t xml:space="preserve">## odds ratio </w:t>
      </w:r>
      <w:r>
        <w:br/>
      </w:r>
      <w:r>
        <w:rPr>
          <w:rStyle w:val="VerbatimChar"/>
        </w:rPr>
        <w:t xml:space="preserve">##   2.962888</w:t>
      </w:r>
    </w:p>
    <w:p>
      <w:pPr>
        <w:pStyle w:val="FirstParagraph"/>
      </w:pPr>
      <w:r>
        <w:t xml:space="preserve">We conducted Fisher’s exact test evaluating the null hypothesis that the average mushroom use among males is equal to than among females. We also fit logistic regression models to see if the odds ratio estimates for the relationships that we predicted would be most strongly correlated were indeed significantly significant.</w:t>
      </w:r>
    </w:p>
    <w:p>
      <w:pPr>
        <w:pStyle w:val="BodyText"/>
      </w:pPr>
      <w:r>
        <w:t xml:space="preserve">We also fit logistic regression models to see if the odds ratio estimates for the relationships that we predicted would be most strongly correlated were indeed significantly significant.</w:t>
      </w:r>
    </w:p>
    <w:p>
      <w:pPr>
        <w:pStyle w:val="BodyText"/>
      </w:pPr>
      <w:r>
        <w:t xml:space="preserve">Results</w:t>
      </w:r>
      <w:r>
        <w:t xml:space="preserve"> </w:t>
      </w:r>
      <w:r>
        <w:t xml:space="preserve">In evaluating the correlations between demographics and personalities in relation to mushroom usage, we used a significance level of α = 0.05 for any statistical tests conducted.</w:t>
      </w:r>
    </w:p>
    <w:p>
      <w:pPr>
        <w:pStyle w:val="BodyText"/>
      </w:pPr>
      <w:r>
        <w:t xml:space="preserve">First research question: For which personalities is there a significant correlation with mushroom use, positive or negative?</w:t>
      </w:r>
      <w:r>
        <w:t xml:space="preserve"> </w:t>
      </w:r>
      <w:r>
        <w:t xml:space="preserve">We created density plots as a means to visualize whether there was a positive, negative, or no correlation between personality scores and mushroom use which can be seen in Appendix #. A higher neuroticism, openness, impulsiveness, and sensation seeking score all appear to correlate positively with more frequent mushroom usage. These positive correlations were all deemed statistically significant based on a fitted logistic regression model, Appendix #, which presents the respective odds ratio estimates of each personality score alongside the p-values of less than 0.05 on a 95% confidence interval.</w:t>
      </w:r>
    </w:p>
    <w:p>
      <w:pPr>
        <w:pStyle w:val="BodyText"/>
      </w:pPr>
      <w:r>
        <w:t xml:space="preserve">Second research question: For which demographic observations, not including ethnicity, is there a significant correlation to mushroom use?</w:t>
      </w:r>
      <w:r>
        <w:t xml:space="preserve"> </w:t>
      </w:r>
      <w:r>
        <w:t xml:space="preserve">We used segmented bar charts in order to visualize any relationships between the various demographic data—gender, country of residence, education status, age category—and mushroom use. The table # illustrates that males are 2.96 times the odds to use mushrooms compared to women. Table # reveals that for ages 25-64, the odds ratio estimate of less than 1 is statistically significant and indicates that the odds of using mushrooms is less in this age group in relation to those 18-24 years old. Similarly, table # shows that</w:t>
      </w:r>
      <w:r>
        <w:t xml:space="preserve"> </w:t>
      </w:r>
      <w:r>
        <w:t xml:space="preserve">“</w:t>
      </w:r>
      <w:r>
        <w:t xml:space="preserve">left school at 18 years</w:t>
      </w:r>
      <w:r>
        <w:t xml:space="preserve">”</w:t>
      </w:r>
      <w:r>
        <w:t xml:space="preserve"> </w:t>
      </w:r>
      <w:r>
        <w:t xml:space="preserve">is the only education status whose odd ratio estimate of less than 1 is not statistically significant compared to those of the status</w:t>
      </w:r>
      <w:r>
        <w:t xml:space="preserve"> </w:t>
      </w:r>
      <w:r>
        <w:t xml:space="preserve">“</w:t>
      </w:r>
      <w:r>
        <w:t xml:space="preserve">some college or university, no certificate or degree.</w:t>
      </w:r>
      <w:r>
        <w:t xml:space="preserve">”</w:t>
      </w:r>
      <w:r>
        <w:t xml:space="preserve"> </w:t>
      </w:r>
      <w:r>
        <w:t xml:space="preserve">For all education statuses except</w:t>
      </w:r>
      <w:r>
        <w:t xml:space="preserve"> </w:t>
      </w:r>
      <w:r>
        <w:t xml:space="preserve">“</w:t>
      </w:r>
      <w:r>
        <w:t xml:space="preserve">left school at 18 years,</w:t>
      </w:r>
      <w:r>
        <w:t xml:space="preserve">”</w:t>
      </w:r>
      <w:r>
        <w:t xml:space="preserve"> </w:t>
      </w:r>
      <w:r>
        <w:t xml:space="preserve">the odds of using mushrooms is significantly less in relation to those of</w:t>
      </w:r>
      <w:r>
        <w:t xml:space="preserve"> </w:t>
      </w:r>
      <w:r>
        <w:t xml:space="preserve">“</w:t>
      </w:r>
      <w:r>
        <w:t xml:space="preserve">some college or university, no certificate or degree.</w:t>
      </w:r>
      <w:r>
        <w:t xml:space="preserve">”</w:t>
      </w:r>
      <w:r>
        <w:t xml:space="preserve"> </w:t>
      </w:r>
      <w:r>
        <w:t xml:space="preserve">Table # shows that New Zealand is the only country of residence whose odd ratio estimate of less than 1 is not statistically significant compared to those living in the U.S. For all countries of residence except New Zealand, the odds of using mushrooms is significantly less in relation to those living in the U.S.</w:t>
      </w:r>
    </w:p>
    <w:p>
      <w:pPr>
        <w:pStyle w:val="BodyText"/>
      </w:pPr>
      <w:r>
        <w:t xml:space="preserve">Discussion</w:t>
      </w:r>
      <w:r>
        <w:t xml:space="preserve"> </w:t>
      </w:r>
      <w:r>
        <w:t xml:space="preserve">To further expand upon this analysis of the data, we may want to see if there are similar or contrasting trends apparent among other drugs present in the dataset. In what ways would these correlations stay the same or differ for drugs that are inherently</w:t>
      </w:r>
      <w:r>
        <w:t xml:space="preserve"> </w:t>
      </w:r>
      <w:r>
        <w:t xml:space="preserve">“</w:t>
      </w:r>
      <w:r>
        <w:t xml:space="preserve">more dangerous?</w:t>
      </w:r>
      <w:r>
        <w:t xml:space="preserve">”</w:t>
      </w:r>
      <w:r>
        <w:t xml:space="preserve"> </w:t>
      </w:r>
      <w:r>
        <w:t xml:space="preserve">Additionally, it would be interesting to explore if there are any demographic or personality score correlations among those who reported using the fictitious drug, semer, that was included in the collection of the data with the intent of identifying people who over-claim on drug usage.</w:t>
      </w:r>
    </w:p>
    <w:p>
      <w:pPr>
        <w:pStyle w:val="BodyText"/>
      </w:pPr>
      <w:r>
        <w:t xml:space="preserve">With regards to the reliability and validity of this data, it is important to consider the inherent flaws of the self-reporting method which was used to obtain data on individuals drug usage frequency. There is also a disproportionate representation among ethnicity and country of residence given that the majority of the participants are white and live in the UK which does not allow any generalizations to be made based on these findings and ethnicity or country of residence. Additionally, it should be noted that the data are skewed toward the younger age categories and that there is less representation among older age groups.</w:t>
      </w:r>
    </w:p>
    <w:p>
      <w:pPr>
        <w:pStyle w:val="BodyText"/>
      </w:pPr>
      <w:r>
        <w:t xml:space="preserve">In conclusion, we were able to determine which demographic categories and personalities had the greatest statistically significant correlations to mushroom use. We ascertained that males have higher odds of using mushrooms than females, participants 18-24 years old have higher odds of using mushrooms than those between the ages of 25-64, participants who have some college or university education, but no certificate or degree, have higher odds of using mushrooms than all other education statuses except those who left school at age 18, and participants living in the U.S. have higher odds of using mushrooms than those residing in all other countries except New Zealand.</w:t>
      </w:r>
    </w:p>
    <w:p>
      <w:pPr>
        <w:pStyle w:val="BodyText"/>
      </w:pPr>
      <w:r>
        <w:t xml:space="preserve">References</w:t>
      </w:r>
      <w:r>
        <w:t xml:space="preserve"> </w:t>
      </w:r>
      <w:r>
        <w:t xml:space="preserve">Controlled Substances - alphabetical order. United States Drug Enforcement Administration. (27 August 2021).</w:t>
      </w:r>
      <w:r>
        <w:t xml:space="preserve"> </w:t>
      </w:r>
      <w:hyperlink r:id="rId22">
        <w:r>
          <w:rPr>
            <w:rStyle w:val="Hyperlink"/>
          </w:rPr>
          <w:t xml:space="preserve">https://deadiversion.usdoj.gov/schedules/orangebook/c_cs_alpha.pdf</w:t>
        </w:r>
      </w:hyperlink>
      <w:r>
        <w:t xml:space="preserve">.</w:t>
      </w:r>
    </w:p>
    <w:p>
      <w:pPr>
        <w:pStyle w:val="BodyText"/>
      </w:pPr>
      <w:r>
        <w:t xml:space="preserve">Drug scheduling. United States Drug Enforcement Administration.</w:t>
      </w:r>
      <w:r>
        <w:t xml:space="preserve"> </w:t>
      </w:r>
      <w:hyperlink r:id="rId23">
        <w:r>
          <w:rPr>
            <w:rStyle w:val="Hyperlink"/>
          </w:rPr>
          <w:t xml:space="preserve">https://www.dea.gov/drug-information/drug-scheduling</w:t>
        </w:r>
      </w:hyperlink>
      <w:r>
        <w:t xml:space="preserve">.</w:t>
      </w:r>
    </w:p>
    <w:p>
      <w:pPr>
        <w:pStyle w:val="BodyText"/>
      </w:pPr>
      <w:r>
        <w:t xml:space="preserve">Dua, D. and Graff, C. (2019). UCI Machine Learning Repository. Irvine, CA: University of California, School of Information and Computer Science.</w:t>
      </w:r>
      <w:r>
        <w:t xml:space="preserve"> </w:t>
      </w:r>
      <w:hyperlink r:id="rId24">
        <w:r>
          <w:rPr>
            <w:rStyle w:val="Hyperlink"/>
          </w:rPr>
          <w:t xml:space="preserve">http://archive.ics.uci.edu/ml</w:t>
        </w:r>
      </w:hyperlink>
      <w:r>
        <w:t xml:space="preserve">.</w:t>
      </w:r>
    </w:p>
    <w:p>
      <w:pPr>
        <w:pStyle w:val="BodyText"/>
      </w:pPr>
      <w:r>
        <w:t xml:space="preserve">GGPLOT2 : Quick correlation matrix heatmap - R software and Data Visualization. Statistical Tools for High-throughput Data Analysis.</w:t>
      </w:r>
    </w:p>
    <w:p>
      <w:pPr>
        <w:pStyle w:val="BodyText"/>
      </w:pPr>
      <w:hyperlink r:id="rId25">
        <w:r>
          <w:rPr>
            <w:rStyle w:val="Hyperlink"/>
          </w:rPr>
          <w:t xml:space="preserve">http://www.sthda.com/english/wiki/ggplot2-quick-correlation-matrix-heatmap-r-software-and-data-visualization</w:t>
        </w:r>
      </w:hyperlink>
      <w:r>
        <w:t xml:space="preserve">. Psilocybin (magic mushrooms). Alcohol and Drug Foundation. (10 November 2021).</w:t>
      </w:r>
    </w:p>
    <w:p>
      <w:pPr>
        <w:pStyle w:val="BodyText"/>
      </w:pPr>
      <w:hyperlink r:id="rId26">
        <w:r>
          <w:rPr>
            <w:rStyle w:val="Hyperlink"/>
          </w:rPr>
          <w:t xml:space="preserve">https://adf.org.au/drug-facts/psilocybin/</w:t>
        </w:r>
      </w:hyperlink>
      <w:r>
        <w:t xml:space="preserve">.</w:t>
      </w:r>
      <w:r>
        <w:t xml:space="preserve"> </w:t>
      </w:r>
      <w:r>
        <w:t xml:space="preserve">Turiano, N. A., Whiteman, S. D., Hampson, S. E., Roberts, B. W., &amp; Mroczek, D. K. (2012). Personality and Substance Use in Midlife: Conscientiousness as a Moderator and the Effects of Trait Change. Journal of research in personality, 46(3), 295–305.</w:t>
      </w:r>
      <w:r>
        <w:t xml:space="preserve"> </w:t>
      </w:r>
      <w:hyperlink r:id="rId27">
        <w:r>
          <w:rPr>
            <w:rStyle w:val="Hyperlink"/>
          </w:rPr>
          <w:t xml:space="preserve">https://doi.org/10.1016/j.jrp.2012.02.009</w:t>
        </w:r>
      </w:hyperlink>
    </w:p>
    <w:p>
      <w:pPr>
        <w:pStyle w:val="BodyText"/>
      </w:pPr>
      <w:r>
        <w:t xml:space="preserve">Appendices</w:t>
      </w:r>
    </w:p>
    <w:p>
      <w:pPr>
        <w:pStyle w:val="BodyText"/>
      </w:pPr>
      <w:r>
        <w:drawing>
          <wp:inline>
            <wp:extent cx="3611727" cy="2165201"/>
            <wp:effectExtent b="0" l="0" r="0" t="0"/>
            <wp:docPr descr="" title="" id="1" name="Picture"/>
            <a:graphic>
              <a:graphicData uri="http://schemas.openxmlformats.org/drawingml/2006/picture">
                <pic:pic>
                  <pic:nvPicPr>
                    <pic:cNvPr descr="finalreport_template_files/figure-docx/mushrooms-vs-gender-1/downscaling1.png" id="0" name="Picture"/>
                    <pic:cNvPicPr>
                      <a:picLocks noChangeArrowheads="1" noChangeAspect="1"/>
                    </pic:cNvPicPr>
                  </pic:nvPicPr>
                  <pic:blipFill>
                    <a:blip r:embed="rId28"/>
                    <a:stretch>
                      <a:fillRect/>
                    </a:stretch>
                  </pic:blipFill>
                  <pic:spPr bwMode="auto">
                    <a:xfrm>
                      <a:off x="0" y="0"/>
                      <a:ext cx="3611727" cy="2165201"/>
                    </a:xfrm>
                    <a:prstGeom prst="rect">
                      <a:avLst/>
                    </a:prstGeom>
                    <a:noFill/>
                    <a:ln w="9525">
                      <a:noFill/>
                      <a:headEnd/>
                      <a:tailEnd/>
                    </a:ln>
                  </pic:spPr>
                </pic:pic>
              </a:graphicData>
            </a:graphic>
          </wp:inline>
        </w:drawing>
      </w:r>
    </w:p>
    <w:p>
      <w:pPr>
        <w:pStyle w:val="BodyText"/>
      </w:pPr>
      <w:r>
        <w:drawing>
          <wp:inline>
            <wp:extent cx="3611727" cy="2165201"/>
            <wp:effectExtent b="0" l="0" r="0" t="0"/>
            <wp:docPr descr="" title="" id="1" name="Picture"/>
            <a:graphic>
              <a:graphicData uri="http://schemas.openxmlformats.org/drawingml/2006/picture">
                <pic:pic>
                  <pic:nvPicPr>
                    <pic:cNvPr descr="finalreport_template_files/figure-docx/mushrooms-vs-country-1/downscaling2.png" id="0" name="Picture"/>
                    <pic:cNvPicPr>
                      <a:picLocks noChangeArrowheads="1" noChangeAspect="1"/>
                    </pic:cNvPicPr>
                  </pic:nvPicPr>
                  <pic:blipFill>
                    <a:blip r:embed="rId29"/>
                    <a:stretch>
                      <a:fillRect/>
                    </a:stretch>
                  </pic:blipFill>
                  <pic:spPr bwMode="auto">
                    <a:xfrm>
                      <a:off x="0" y="0"/>
                      <a:ext cx="3611727" cy="2165201"/>
                    </a:xfrm>
                    <a:prstGeom prst="rect">
                      <a:avLst/>
                    </a:prstGeom>
                    <a:noFill/>
                    <a:ln w="9525">
                      <a:noFill/>
                      <a:headEnd/>
                      <a:tailEnd/>
                    </a:ln>
                  </pic:spPr>
                </pic:pic>
              </a:graphicData>
            </a:graphic>
          </wp:inline>
        </w:drawing>
      </w:r>
      <w:r>
        <w:drawing>
          <wp:inline>
            <wp:extent cx="3611727" cy="2165201"/>
            <wp:effectExtent b="0" l="0" r="0" t="0"/>
            <wp:docPr descr="" title="" id="1" name="Picture"/>
            <a:graphic>
              <a:graphicData uri="http://schemas.openxmlformats.org/drawingml/2006/picture">
                <pic:pic>
                  <pic:nvPicPr>
                    <pic:cNvPr descr="finalreport_template_files/figure-docx/mushrooms-vs-country-1/downscaling3.png" id="0" name="Picture"/>
                    <pic:cNvPicPr>
                      <a:picLocks noChangeArrowheads="1" noChangeAspect="1"/>
                    </pic:cNvPicPr>
                  </pic:nvPicPr>
                  <pic:blipFill>
                    <a:blip r:embed="rId30"/>
                    <a:stretch>
                      <a:fillRect/>
                    </a:stretch>
                  </pic:blipFill>
                  <pic:spPr bwMode="auto">
                    <a:xfrm>
                      <a:off x="0" y="0"/>
                      <a:ext cx="3611727" cy="2165201"/>
                    </a:xfrm>
                    <a:prstGeom prst="rect">
                      <a:avLst/>
                    </a:prstGeom>
                    <a:noFill/>
                    <a:ln w="9525">
                      <a:noFill/>
                      <a:headEnd/>
                      <a:tailEnd/>
                    </a:ln>
                  </pic:spPr>
                </pic:pic>
              </a:graphicData>
            </a:graphic>
          </wp:inline>
        </w:drawing>
      </w:r>
    </w:p>
    <w:p>
      <w:pPr>
        <w:pStyle w:val="BodyText"/>
      </w:pPr>
      <w:r>
        <w:drawing>
          <wp:inline>
            <wp:extent cx="3611727" cy="2165201"/>
            <wp:effectExtent b="0" l="0" r="0" t="0"/>
            <wp:docPr descr="" title="" id="1" name="Picture"/>
            <a:graphic>
              <a:graphicData uri="http://schemas.openxmlformats.org/drawingml/2006/picture">
                <pic:pic>
                  <pic:nvPicPr>
                    <pic:cNvPr descr="finalreport_template_files/figure-docx/mushrooms-vs-education-1/downscaling4.png" id="0" name="Picture"/>
                    <pic:cNvPicPr>
                      <a:picLocks noChangeArrowheads="1" noChangeAspect="1"/>
                    </pic:cNvPicPr>
                  </pic:nvPicPr>
                  <pic:blipFill>
                    <a:blip r:embed="rId31"/>
                    <a:stretch>
                      <a:fillRect/>
                    </a:stretch>
                  </pic:blipFill>
                  <pic:spPr bwMode="auto">
                    <a:xfrm>
                      <a:off x="0" y="0"/>
                      <a:ext cx="3611727" cy="2165201"/>
                    </a:xfrm>
                    <a:prstGeom prst="rect">
                      <a:avLst/>
                    </a:prstGeom>
                    <a:noFill/>
                    <a:ln w="9525">
                      <a:noFill/>
                      <a:headEnd/>
                      <a:tailEnd/>
                    </a:ln>
                  </pic:spPr>
                </pic:pic>
              </a:graphicData>
            </a:graphic>
          </wp:inline>
        </w:drawing>
      </w:r>
      <w:r>
        <w:drawing>
          <wp:inline>
            <wp:extent cx="3611727" cy="2165201"/>
            <wp:effectExtent b="0" l="0" r="0" t="0"/>
            <wp:docPr descr="" title="" id="1" name="Picture"/>
            <a:graphic>
              <a:graphicData uri="http://schemas.openxmlformats.org/drawingml/2006/picture">
                <pic:pic>
                  <pic:nvPicPr>
                    <pic:cNvPr descr="finalreport_template_files/figure-docx/mushrooms-vs-education-1/downscaling5.png" id="0" name="Picture"/>
                    <pic:cNvPicPr>
                      <a:picLocks noChangeArrowheads="1" noChangeAspect="1"/>
                    </pic:cNvPicPr>
                  </pic:nvPicPr>
                  <pic:blipFill>
                    <a:blip r:embed="rId32"/>
                    <a:stretch>
                      <a:fillRect/>
                    </a:stretch>
                  </pic:blipFill>
                  <pic:spPr bwMode="auto">
                    <a:xfrm>
                      <a:off x="0" y="0"/>
                      <a:ext cx="3611727" cy="2165201"/>
                    </a:xfrm>
                    <a:prstGeom prst="rect">
                      <a:avLst/>
                    </a:prstGeom>
                    <a:noFill/>
                    <a:ln w="9525">
                      <a:noFill/>
                      <a:headEnd/>
                      <a:tailEnd/>
                    </a:ln>
                  </pic:spPr>
                </pic:pic>
              </a:graphicData>
            </a:graphic>
          </wp:inline>
        </w:drawing>
      </w:r>
    </w:p>
    <w:p>
      <w:pPr>
        <w:pStyle w:val="BodyText"/>
      </w:pPr>
      <w:r>
        <w:drawing>
          <wp:inline>
            <wp:extent cx="3611727" cy="2165201"/>
            <wp:effectExtent b="0" l="0" r="0" t="0"/>
            <wp:docPr descr="" title="" id="1" name="Picture"/>
            <a:graphic>
              <a:graphicData uri="http://schemas.openxmlformats.org/drawingml/2006/picture">
                <pic:pic>
                  <pic:nvPicPr>
                    <pic:cNvPr descr="finalreport_template_files/figure-docx/mushrooms-vs-age-1/downscaling6.png" id="0" name="Picture"/>
                    <pic:cNvPicPr>
                      <a:picLocks noChangeArrowheads="1" noChangeAspect="1"/>
                    </pic:cNvPicPr>
                  </pic:nvPicPr>
                  <pic:blipFill>
                    <a:blip r:embed="rId33"/>
                    <a:stretch>
                      <a:fillRect/>
                    </a:stretch>
                  </pic:blipFill>
                  <pic:spPr bwMode="auto">
                    <a:xfrm>
                      <a:off x="0" y="0"/>
                      <a:ext cx="3611727" cy="2165201"/>
                    </a:xfrm>
                    <a:prstGeom prst="rect">
                      <a:avLst/>
                    </a:prstGeom>
                    <a:noFill/>
                    <a:ln w="9525">
                      <a:noFill/>
                      <a:headEnd/>
                      <a:tailEnd/>
                    </a:ln>
                  </pic:spPr>
                </pic:pic>
              </a:graphicData>
            </a:graphic>
          </wp:inline>
        </w:drawing>
      </w:r>
      <w:r>
        <w:drawing>
          <wp:inline>
            <wp:extent cx="3611727" cy="2165201"/>
            <wp:effectExtent b="0" l="0" r="0" t="0"/>
            <wp:docPr descr="" title="" id="1" name="Picture"/>
            <a:graphic>
              <a:graphicData uri="http://schemas.openxmlformats.org/drawingml/2006/picture">
                <pic:pic>
                  <pic:nvPicPr>
                    <pic:cNvPr descr="finalreport_template_files/figure-docx/mushrooms-vs-age-1/downscaling7.png" id="0" name="Picture"/>
                    <pic:cNvPicPr>
                      <a:picLocks noChangeArrowheads="1" noChangeAspect="1"/>
                    </pic:cNvPicPr>
                  </pic:nvPicPr>
                  <pic:blipFill>
                    <a:blip r:embed="rId34"/>
                    <a:stretch>
                      <a:fillRect/>
                    </a:stretch>
                  </pic:blipFill>
                  <pic:spPr bwMode="auto">
                    <a:xfrm>
                      <a:off x="0" y="0"/>
                      <a:ext cx="3611727" cy="2165201"/>
                    </a:xfrm>
                    <a:prstGeom prst="rect">
                      <a:avLst/>
                    </a:prstGeom>
                    <a:noFill/>
                    <a:ln w="9525">
                      <a:noFill/>
                      <a:headEnd/>
                      <a:tailEnd/>
                    </a:ln>
                  </pic:spPr>
                </pic:pic>
              </a:graphicData>
            </a:graphic>
          </wp:inline>
        </w:drawing>
      </w:r>
    </w:p>
    <w:p>
      <w:pPr>
        <w:pStyle w:val="BodyText"/>
      </w:pPr>
      <w:r>
        <w:drawing>
          <wp:inline>
            <wp:extent cx="3611727" cy="2165201"/>
            <wp:effectExtent b="0" l="0" r="0" t="0"/>
            <wp:docPr descr="" title="" id="1" name="Picture"/>
            <a:graphic>
              <a:graphicData uri="http://schemas.openxmlformats.org/drawingml/2006/picture">
                <pic:pic>
                  <pic:nvPicPr>
                    <pic:cNvPr descr="finalreport_template_files/figure-docx/mushrooms-vs-ethnicity-1/downscaling8.png" id="0" name="Picture"/>
                    <pic:cNvPicPr>
                      <a:picLocks noChangeArrowheads="1" noChangeAspect="1"/>
                    </pic:cNvPicPr>
                  </pic:nvPicPr>
                  <pic:blipFill>
                    <a:blip r:embed="rId35"/>
                    <a:stretch>
                      <a:fillRect/>
                    </a:stretch>
                  </pic:blipFill>
                  <pic:spPr bwMode="auto">
                    <a:xfrm>
                      <a:off x="0" y="0"/>
                      <a:ext cx="3611727" cy="2165201"/>
                    </a:xfrm>
                    <a:prstGeom prst="rect">
                      <a:avLst/>
                    </a:prstGeom>
                    <a:noFill/>
                    <a:ln w="9525">
                      <a:noFill/>
                      <a:headEnd/>
                      <a:tailEnd/>
                    </a:ln>
                  </pic:spPr>
                </pic:pic>
              </a:graphicData>
            </a:graphic>
          </wp:inline>
        </w:drawing>
      </w:r>
      <w:r>
        <w:drawing>
          <wp:inline>
            <wp:extent cx="3611727" cy="2165201"/>
            <wp:effectExtent b="0" l="0" r="0" t="0"/>
            <wp:docPr descr="" title="" id="1" name="Picture"/>
            <a:graphic>
              <a:graphicData uri="http://schemas.openxmlformats.org/drawingml/2006/picture">
                <pic:pic>
                  <pic:nvPicPr>
                    <pic:cNvPr descr="finalreport_template_files/figure-docx/mushrooms-vs-ethnicity-1/downscaling9.png" id="0" name="Picture"/>
                    <pic:cNvPicPr>
                      <a:picLocks noChangeArrowheads="1" noChangeAspect="1"/>
                    </pic:cNvPicPr>
                  </pic:nvPicPr>
                  <pic:blipFill>
                    <a:blip r:embed="rId36"/>
                    <a:stretch>
                      <a:fillRect/>
                    </a:stretch>
                  </pic:blipFill>
                  <pic:spPr bwMode="auto">
                    <a:xfrm>
                      <a:off x="0" y="0"/>
                      <a:ext cx="3611727" cy="21652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finalreport_template_files/figure-docx/trait-density-grid-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TableCaption"/>
      </w:pPr>
      <w:r>
        <w:t xml:space="preserve">Table 2</w:t>
      </w:r>
    </w:p>
    <w:tbl>
      <w:tblPr>
        <w:tblStyle w:val="Table"/>
        <w:tblW w:type="pct" w:w="0.0"/>
        <w:tblLook w:firstRow="1" w:lastRow="0" w:firstColumn="0" w:lastColumn="0" w:noHBand="0" w:noVBand="0" w:val="0020"/>
        <w:tblCaption w:val="Table 2"/>
      </w:tblPr>
      <w:tblGrid/>
      <w:tr>
        <w:tc>
          <w:p>
            <w:pPr>
              <w:pStyle w:val="Compact"/>
              <w:jc w:val="left"/>
            </w:pPr>
            <w:r>
              <w:t xml:space="preserve">term</w:t>
            </w:r>
          </w:p>
        </w:tc>
        <w:tc>
          <w:p>
            <w:pPr>
              <w:pStyle w:val="Compact"/>
              <w:jc w:val="right"/>
            </w:pPr>
            <w:r>
              <w:t xml:space="preserve">estimate</w:t>
            </w:r>
          </w:p>
        </w:tc>
        <w:tc>
          <w:p>
            <w:pPr>
              <w:pStyle w:val="Compact"/>
              <w:jc w:val="right"/>
            </w:pPr>
            <w:r>
              <w:t xml:space="preserve">std.error</w:t>
            </w:r>
          </w:p>
        </w:tc>
        <w:tc>
          <w:p>
            <w:pPr>
              <w:pStyle w:val="Compact"/>
              <w:jc w:val="right"/>
            </w:pPr>
            <w:r>
              <w:t xml:space="preserve">statistic</w:t>
            </w:r>
          </w:p>
        </w:tc>
        <w:tc>
          <w:p>
            <w:pPr>
              <w:pStyle w:val="Compact"/>
              <w:jc w:val="right"/>
            </w:pPr>
            <w:r>
              <w:t xml:space="preserve">p.value</w:t>
            </w:r>
          </w:p>
        </w:tc>
        <w:tc>
          <w:p>
            <w:pPr>
              <w:pStyle w:val="Compact"/>
              <w:jc w:val="right"/>
            </w:pPr>
            <w:r>
              <w:t xml:space="preserve">conf.low</w:t>
            </w:r>
          </w:p>
        </w:tc>
        <w:tc>
          <w:p>
            <w:pPr>
              <w:pStyle w:val="Compact"/>
              <w:jc w:val="right"/>
            </w:pPr>
            <w:r>
              <w:t xml:space="preserve">conf.high</w:t>
            </w:r>
          </w:p>
        </w:tc>
      </w:tr>
      <w:tr>
        <w:tc>
          <w:p>
            <w:pPr>
              <w:pStyle w:val="Compact"/>
              <w:jc w:val="left"/>
            </w:pPr>
            <w:r>
              <w:t xml:space="preserve">(Intercept)</w:t>
            </w:r>
          </w:p>
        </w:tc>
        <w:tc>
          <w:p>
            <w:pPr>
              <w:pStyle w:val="Compact"/>
              <w:jc w:val="right"/>
            </w:pPr>
            <w:r>
              <w:t xml:space="preserve">0.3253521</w:t>
            </w:r>
          </w:p>
        </w:tc>
        <w:tc>
          <w:p>
            <w:pPr>
              <w:pStyle w:val="Compact"/>
              <w:jc w:val="right"/>
            </w:pPr>
            <w:r>
              <w:t xml:space="preserve">0.0757459</w:t>
            </w:r>
          </w:p>
        </w:tc>
        <w:tc>
          <w:p>
            <w:pPr>
              <w:pStyle w:val="Compact"/>
              <w:jc w:val="right"/>
            </w:pPr>
            <w:r>
              <w:t xml:space="preserve">-14.82386</w:t>
            </w:r>
          </w:p>
        </w:tc>
        <w:tc>
          <w:p>
            <w:pPr>
              <w:pStyle w:val="Compact"/>
              <w:jc w:val="right"/>
            </w:pPr>
            <w:r>
              <w:t xml:space="preserve">0</w:t>
            </w:r>
          </w:p>
        </w:tc>
        <w:tc>
          <w:p>
            <w:pPr>
              <w:pStyle w:val="Compact"/>
              <w:jc w:val="right"/>
            </w:pPr>
            <w:r>
              <w:t xml:space="preserve">0.2799191</w:t>
            </w:r>
          </w:p>
        </w:tc>
        <w:tc>
          <w:p>
            <w:pPr>
              <w:pStyle w:val="Compact"/>
              <w:jc w:val="right"/>
            </w:pPr>
            <w:r>
              <w:t xml:space="preserve">0.3767448</w:t>
            </w:r>
          </w:p>
        </w:tc>
      </w:tr>
      <w:tr>
        <w:tc>
          <w:p>
            <w:pPr>
              <w:pStyle w:val="Compact"/>
              <w:jc w:val="left"/>
            </w:pPr>
            <w:r>
              <w:t xml:space="preserve">Gender</w:t>
            </w:r>
          </w:p>
        </w:tc>
        <w:tc>
          <w:p>
            <w:pPr>
              <w:pStyle w:val="Compact"/>
              <w:jc w:val="right"/>
            </w:pPr>
            <w:r>
              <w:t xml:space="preserve">2.9647367</w:t>
            </w:r>
          </w:p>
        </w:tc>
        <w:tc>
          <w:p>
            <w:pPr>
              <w:pStyle w:val="Compact"/>
              <w:jc w:val="right"/>
            </w:pPr>
            <w:r>
              <w:t xml:space="preserve">0.0999030</w:t>
            </w:r>
          </w:p>
        </w:tc>
        <w:tc>
          <w:p>
            <w:pPr>
              <w:pStyle w:val="Compact"/>
              <w:jc w:val="right"/>
            </w:pPr>
            <w:r>
              <w:t xml:space="preserve">10.87844</w:t>
            </w:r>
          </w:p>
        </w:tc>
        <w:tc>
          <w:p>
            <w:pPr>
              <w:pStyle w:val="Compact"/>
              <w:jc w:val="right"/>
            </w:pPr>
            <w:r>
              <w:t xml:space="preserve">0</w:t>
            </w:r>
          </w:p>
        </w:tc>
        <w:tc>
          <w:p>
            <w:pPr>
              <w:pStyle w:val="Compact"/>
              <w:jc w:val="right"/>
            </w:pPr>
            <w:r>
              <w:t xml:space="preserve">2.4399672</w:t>
            </w:r>
          </w:p>
        </w:tc>
        <w:tc>
          <w:p>
            <w:pPr>
              <w:pStyle w:val="Compact"/>
              <w:jc w:val="right"/>
            </w:pPr>
            <w:r>
              <w:t xml:space="preserve">3.6099891</w:t>
            </w:r>
          </w:p>
        </w:tc>
      </w:tr>
    </w:tbl>
    <w:p>
      <w:pPr>
        <w:pStyle w:val="SourceCode"/>
      </w:pP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p>
    <w:p>
      <w:pPr>
        <w:pStyle w:val="TableCaption"/>
      </w:pPr>
      <w:r>
        <w:t xml:space="preserve">Table 3</w:t>
      </w:r>
    </w:p>
    <w:tbl>
      <w:tblPr>
        <w:tblStyle w:val="Table"/>
        <w:tblW w:type="pct" w:w="0.0"/>
        <w:tblLook w:firstRow="1" w:lastRow="0" w:firstColumn="0" w:lastColumn="0" w:noHBand="0" w:noVBand="0" w:val="0020"/>
        <w:tblCaption w:val="Table 3"/>
      </w:tblPr>
      <w:tblGrid/>
      <w:tr>
        <w:tc>
          <w:p>
            <w:pPr>
              <w:pStyle w:val="Compact"/>
              <w:jc w:val="left"/>
            </w:pPr>
            <w:r>
              <w:t xml:space="preserve">term</w:t>
            </w:r>
          </w:p>
        </w:tc>
        <w:tc>
          <w:p>
            <w:pPr>
              <w:pStyle w:val="Compact"/>
              <w:jc w:val="right"/>
            </w:pPr>
            <w:r>
              <w:t xml:space="preserve">estimate</w:t>
            </w:r>
          </w:p>
        </w:tc>
        <w:tc>
          <w:p>
            <w:pPr>
              <w:pStyle w:val="Compact"/>
              <w:jc w:val="right"/>
            </w:pPr>
            <w:r>
              <w:t xml:space="preserve">std.error</w:t>
            </w:r>
          </w:p>
        </w:tc>
        <w:tc>
          <w:p>
            <w:pPr>
              <w:pStyle w:val="Compact"/>
              <w:jc w:val="right"/>
            </w:pPr>
            <w:r>
              <w:t xml:space="preserve">statistic</w:t>
            </w:r>
          </w:p>
        </w:tc>
        <w:tc>
          <w:p>
            <w:pPr>
              <w:pStyle w:val="Compact"/>
              <w:jc w:val="right"/>
            </w:pPr>
            <w:r>
              <w:t xml:space="preserve">p.value</w:t>
            </w:r>
          </w:p>
        </w:tc>
        <w:tc>
          <w:p>
            <w:pPr>
              <w:pStyle w:val="Compact"/>
              <w:jc w:val="right"/>
            </w:pPr>
            <w:r>
              <w:t xml:space="preserve">conf.low</w:t>
            </w:r>
          </w:p>
        </w:tc>
        <w:tc>
          <w:p>
            <w:pPr>
              <w:pStyle w:val="Compact"/>
              <w:jc w:val="right"/>
            </w:pPr>
            <w:r>
              <w:t xml:space="preserve">conf.high</w:t>
            </w:r>
          </w:p>
        </w:tc>
      </w:tr>
      <w:tr>
        <w:tc>
          <w:p>
            <w:pPr>
              <w:pStyle w:val="Compact"/>
              <w:jc w:val="left"/>
            </w:pPr>
            <w:r>
              <w:t xml:space="preserve">(Intercept)</w:t>
            </w:r>
          </w:p>
        </w:tc>
        <w:tc>
          <w:p>
            <w:pPr>
              <w:pStyle w:val="Compact"/>
              <w:jc w:val="right"/>
            </w:pPr>
            <w:r>
              <w:t xml:space="preserve">1.3297101</w:t>
            </w:r>
          </w:p>
        </w:tc>
        <w:tc>
          <w:p>
            <w:pPr>
              <w:pStyle w:val="Compact"/>
              <w:jc w:val="right"/>
            </w:pPr>
            <w:r>
              <w:t xml:space="preserve">0.0796742</w:t>
            </w:r>
          </w:p>
        </w:tc>
        <w:tc>
          <w:p>
            <w:pPr>
              <w:pStyle w:val="Compact"/>
              <w:jc w:val="right"/>
            </w:pPr>
            <w:r>
              <w:t xml:space="preserve">3.5765762</w:t>
            </w:r>
          </w:p>
        </w:tc>
        <w:tc>
          <w:p>
            <w:pPr>
              <w:pStyle w:val="Compact"/>
              <w:jc w:val="right"/>
            </w:pPr>
            <w:r>
              <w:t xml:space="preserve">0.0003481</w:t>
            </w:r>
          </w:p>
        </w:tc>
        <w:tc>
          <w:p>
            <w:pPr>
              <w:pStyle w:val="Compact"/>
              <w:jc w:val="right"/>
            </w:pPr>
            <w:r>
              <w:t xml:space="preserve">1.1380297</w:t>
            </w:r>
          </w:p>
        </w:tc>
        <w:tc>
          <w:p>
            <w:pPr>
              <w:pStyle w:val="Compact"/>
              <w:jc w:val="right"/>
            </w:pPr>
            <w:r>
              <w:t xml:space="preserve">1.5554680</w:t>
            </w:r>
          </w:p>
        </w:tc>
      </w:tr>
      <w:tr>
        <w:tc>
          <w:p>
            <w:pPr>
              <w:pStyle w:val="Compact"/>
              <w:jc w:val="left"/>
            </w:pPr>
            <w:r>
              <w:t xml:space="preserve">Age25-34</w:t>
            </w:r>
          </w:p>
        </w:tc>
        <w:tc>
          <w:p>
            <w:pPr>
              <w:pStyle w:val="Compact"/>
              <w:jc w:val="right"/>
            </w:pPr>
            <w:r>
              <w:t xml:space="preserve">0.5352623</w:t>
            </w:r>
          </w:p>
        </w:tc>
        <w:tc>
          <w:p>
            <w:pPr>
              <w:pStyle w:val="Compact"/>
              <w:jc w:val="right"/>
            </w:pPr>
            <w:r>
              <w:t xml:space="preserve">0.1220930</w:t>
            </w:r>
          </w:p>
        </w:tc>
        <w:tc>
          <w:p>
            <w:pPr>
              <w:pStyle w:val="Compact"/>
              <w:jc w:val="right"/>
            </w:pPr>
            <w:r>
              <w:t xml:space="preserve">-5.1190342</w:t>
            </w:r>
          </w:p>
        </w:tc>
        <w:tc>
          <w:p>
            <w:pPr>
              <w:pStyle w:val="Compact"/>
              <w:jc w:val="right"/>
            </w:pPr>
            <w:r>
              <w:t xml:space="preserve">0.0000003</w:t>
            </w:r>
          </w:p>
        </w:tc>
        <w:tc>
          <w:p>
            <w:pPr>
              <w:pStyle w:val="Compact"/>
              <w:jc w:val="right"/>
            </w:pPr>
            <w:r>
              <w:t xml:space="preserve">0.4209884</w:t>
            </w:r>
          </w:p>
        </w:tc>
        <w:tc>
          <w:p>
            <w:pPr>
              <w:pStyle w:val="Compact"/>
              <w:jc w:val="right"/>
            </w:pPr>
            <w:r>
              <w:t xml:space="preserve">0.6794992</w:t>
            </w:r>
          </w:p>
        </w:tc>
      </w:tr>
      <w:tr>
        <w:tc>
          <w:p>
            <w:pPr>
              <w:pStyle w:val="Compact"/>
              <w:jc w:val="left"/>
            </w:pPr>
            <w:r>
              <w:t xml:space="preserve">Age35-44</w:t>
            </w:r>
          </w:p>
        </w:tc>
        <w:tc>
          <w:p>
            <w:pPr>
              <w:pStyle w:val="Compact"/>
              <w:jc w:val="right"/>
            </w:pPr>
            <w:r>
              <w:t xml:space="preserve">0.2048578</w:t>
            </w:r>
          </w:p>
        </w:tc>
        <w:tc>
          <w:p>
            <w:pPr>
              <w:pStyle w:val="Compact"/>
              <w:jc w:val="right"/>
            </w:pPr>
            <w:r>
              <w:t xml:space="preserve">0.1519543</w:t>
            </w:r>
          </w:p>
        </w:tc>
        <w:tc>
          <w:p>
            <w:pPr>
              <w:pStyle w:val="Compact"/>
              <w:jc w:val="right"/>
            </w:pPr>
            <w:r>
              <w:t xml:space="preserve">-10.4336597</w:t>
            </w:r>
          </w:p>
        </w:tc>
        <w:tc>
          <w:p>
            <w:pPr>
              <w:pStyle w:val="Compact"/>
              <w:jc w:val="right"/>
            </w:pPr>
            <w:r>
              <w:t xml:space="preserve">0.0000000</w:t>
            </w:r>
          </w:p>
        </w:tc>
        <w:tc>
          <w:p>
            <w:pPr>
              <w:pStyle w:val="Compact"/>
              <w:jc w:val="right"/>
            </w:pPr>
            <w:r>
              <w:t xml:space="preserve">0.1513483</w:t>
            </w:r>
          </w:p>
        </w:tc>
        <w:tc>
          <w:p>
            <w:pPr>
              <w:pStyle w:val="Compact"/>
              <w:jc w:val="right"/>
            </w:pPr>
            <w:r>
              <w:t xml:space="preserve">0.2747352</w:t>
            </w:r>
          </w:p>
        </w:tc>
      </w:tr>
      <w:tr>
        <w:tc>
          <w:p>
            <w:pPr>
              <w:pStyle w:val="Compact"/>
              <w:jc w:val="left"/>
            </w:pPr>
            <w:r>
              <w:t xml:space="preserve">Age45-54</w:t>
            </w:r>
          </w:p>
        </w:tc>
        <w:tc>
          <w:p>
            <w:pPr>
              <w:pStyle w:val="Compact"/>
              <w:jc w:val="right"/>
            </w:pPr>
            <w:r>
              <w:t xml:space="preserve">0.1253406</w:t>
            </w:r>
          </w:p>
        </w:tc>
        <w:tc>
          <w:p>
            <w:pPr>
              <w:pStyle w:val="Compact"/>
              <w:jc w:val="right"/>
            </w:pPr>
            <w:r>
              <w:t xml:space="preserve">0.1847316</w:t>
            </w:r>
          </w:p>
        </w:tc>
        <w:tc>
          <w:p>
            <w:pPr>
              <w:pStyle w:val="Compact"/>
              <w:jc w:val="right"/>
            </w:pPr>
            <w:r>
              <w:t xml:space="preserve">-11.2418261</w:t>
            </w:r>
          </w:p>
        </w:tc>
        <w:tc>
          <w:p>
            <w:pPr>
              <w:pStyle w:val="Compact"/>
              <w:jc w:val="right"/>
            </w:pPr>
            <w:r>
              <w:t xml:space="preserve">0.0000000</w:t>
            </w:r>
          </w:p>
        </w:tc>
        <w:tc>
          <w:p>
            <w:pPr>
              <w:pStyle w:val="Compact"/>
              <w:jc w:val="right"/>
            </w:pPr>
            <w:r>
              <w:t xml:space="preserve">0.0862901</w:t>
            </w:r>
          </w:p>
        </w:tc>
        <w:tc>
          <w:p>
            <w:pPr>
              <w:pStyle w:val="Compact"/>
              <w:jc w:val="right"/>
            </w:pPr>
            <w:r>
              <w:t xml:space="preserve">0.1782810</w:t>
            </w:r>
          </w:p>
        </w:tc>
      </w:tr>
      <w:tr>
        <w:tc>
          <w:p>
            <w:pPr>
              <w:pStyle w:val="Compact"/>
              <w:jc w:val="left"/>
            </w:pPr>
            <w:r>
              <w:t xml:space="preserve">Age55-64</w:t>
            </w:r>
          </w:p>
        </w:tc>
        <w:tc>
          <w:p>
            <w:pPr>
              <w:pStyle w:val="Compact"/>
              <w:jc w:val="right"/>
            </w:pPr>
            <w:r>
              <w:t xml:space="preserve">0.0805761</w:t>
            </w:r>
          </w:p>
        </w:tc>
        <w:tc>
          <w:p>
            <w:pPr>
              <w:pStyle w:val="Compact"/>
              <w:jc w:val="right"/>
            </w:pPr>
            <w:r>
              <w:t xml:space="preserve">0.3596719</w:t>
            </w:r>
          </w:p>
        </w:tc>
        <w:tc>
          <w:p>
            <w:pPr>
              <w:pStyle w:val="Compact"/>
              <w:jc w:val="right"/>
            </w:pPr>
            <w:r>
              <w:t xml:space="preserve">-7.0023635</w:t>
            </w:r>
          </w:p>
        </w:tc>
        <w:tc>
          <w:p>
            <w:pPr>
              <w:pStyle w:val="Compact"/>
              <w:jc w:val="right"/>
            </w:pPr>
            <w:r>
              <w:t xml:space="preserve">0.0000000</w:t>
            </w:r>
          </w:p>
        </w:tc>
        <w:tc>
          <w:p>
            <w:pPr>
              <w:pStyle w:val="Compact"/>
              <w:jc w:val="right"/>
            </w:pPr>
            <w:r>
              <w:t xml:space="preserve">0.0371441</w:t>
            </w:r>
          </w:p>
        </w:tc>
        <w:tc>
          <w:p>
            <w:pPr>
              <w:pStyle w:val="Compact"/>
              <w:jc w:val="right"/>
            </w:pPr>
            <w:r>
              <w:t xml:space="preserve">0.1546385</w:t>
            </w:r>
          </w:p>
        </w:tc>
      </w:tr>
      <w:tr>
        <w:tc>
          <w:p>
            <w:pPr>
              <w:pStyle w:val="Compact"/>
              <w:jc w:val="left"/>
            </w:pPr>
            <w:r>
              <w:t xml:space="preserve">Age65+</w:t>
            </w:r>
          </w:p>
        </w:tc>
        <w:tc>
          <w:p>
            <w:pPr>
              <w:pStyle w:val="Compact"/>
              <w:jc w:val="right"/>
            </w:pPr>
            <w:r>
              <w:t xml:space="preserve">0.0000001</w:t>
            </w:r>
          </w:p>
        </w:tc>
        <w:tc>
          <w:p>
            <w:pPr>
              <w:pStyle w:val="Compact"/>
              <w:jc w:val="right"/>
            </w:pPr>
            <w:r>
              <w:t xml:space="preserve">343.0404974</w:t>
            </w:r>
          </w:p>
        </w:tc>
        <w:tc>
          <w:p>
            <w:pPr>
              <w:pStyle w:val="Compact"/>
              <w:jc w:val="right"/>
            </w:pPr>
            <w:r>
              <w:t xml:space="preserve">-0.0462075</w:t>
            </w:r>
          </w:p>
        </w:tc>
        <w:tc>
          <w:p>
            <w:pPr>
              <w:pStyle w:val="Compact"/>
              <w:jc w:val="right"/>
            </w:pPr>
            <w:r>
              <w:t xml:space="preserve">0.9631449</w:t>
            </w:r>
          </w:p>
        </w:tc>
        <w:tc>
          <w:p>
            <w:pPr>
              <w:pStyle w:val="Compact"/>
              <w:jc w:val="right"/>
            </w:pPr>
            <w:r>
              <w:t xml:space="preserve">NA</w:t>
            </w:r>
          </w:p>
        </w:tc>
        <w:tc>
          <w:p>
            <w:pPr>
              <w:pStyle w:val="Compact"/>
              <w:jc w:val="right"/>
            </w:pPr>
            <w:r>
              <w:t xml:space="preserve">140.2742403</w:t>
            </w:r>
          </w:p>
        </w:tc>
      </w:tr>
    </w:tbl>
    <w:p/>
    <w:p>
      <w:pPr>
        <w:pStyle w:val="TableCaption"/>
      </w:pPr>
      <w:r>
        <w:t xml:space="preserve">Table 4</w:t>
      </w:r>
    </w:p>
    <w:tbl>
      <w:tblPr>
        <w:tblStyle w:val="Table"/>
        <w:tblW w:type="pct" w:w="4999.999999999999"/>
        <w:tblLook w:firstRow="1" w:lastRow="0" w:firstColumn="0" w:lastColumn="0" w:noHBand="0" w:noVBand="0" w:val="0020"/>
        <w:tblCaption w:val="Table 4"/>
      </w:tblPr>
      <w:tblGrid>
        <w:gridCol w:w="3306"/>
        <w:gridCol w:w="768"/>
        <w:gridCol w:w="768"/>
        <w:gridCol w:w="768"/>
        <w:gridCol w:w="768"/>
        <w:gridCol w:w="768"/>
        <w:gridCol w:w="768"/>
      </w:tblGrid>
      <w:tr>
        <w:tc>
          <w:p>
            <w:pPr>
              <w:pStyle w:val="Compact"/>
              <w:jc w:val="left"/>
            </w:pPr>
            <w:r>
              <w:t xml:space="preserve">term</w:t>
            </w:r>
          </w:p>
        </w:tc>
        <w:tc>
          <w:p>
            <w:pPr>
              <w:pStyle w:val="Compact"/>
              <w:jc w:val="right"/>
            </w:pPr>
            <w:r>
              <w:t xml:space="preserve">estimate</w:t>
            </w:r>
          </w:p>
        </w:tc>
        <w:tc>
          <w:p>
            <w:pPr>
              <w:pStyle w:val="Compact"/>
              <w:jc w:val="right"/>
            </w:pPr>
            <w:r>
              <w:t xml:space="preserve">std.error</w:t>
            </w:r>
          </w:p>
        </w:tc>
        <w:tc>
          <w:p>
            <w:pPr>
              <w:pStyle w:val="Compact"/>
              <w:jc w:val="right"/>
            </w:pPr>
            <w:r>
              <w:t xml:space="preserve">statistic</w:t>
            </w:r>
          </w:p>
        </w:tc>
        <w:tc>
          <w:p>
            <w:pPr>
              <w:pStyle w:val="Compact"/>
              <w:jc w:val="right"/>
            </w:pPr>
            <w:r>
              <w:t xml:space="preserve">p.value</w:t>
            </w:r>
          </w:p>
        </w:tc>
        <w:tc>
          <w:p>
            <w:pPr>
              <w:pStyle w:val="Compact"/>
              <w:jc w:val="right"/>
            </w:pPr>
            <w:r>
              <w:t xml:space="preserve">conf.low</w:t>
            </w:r>
          </w:p>
        </w:tc>
        <w:tc>
          <w:p>
            <w:pPr>
              <w:pStyle w:val="Compact"/>
              <w:jc w:val="right"/>
            </w:pPr>
            <w:r>
              <w:t xml:space="preserve">conf.high</w:t>
            </w:r>
          </w:p>
        </w:tc>
      </w:tr>
      <w:tr>
        <w:tc>
          <w:p>
            <w:pPr>
              <w:pStyle w:val="Compact"/>
              <w:jc w:val="left"/>
            </w:pPr>
            <w:r>
              <w:t xml:space="preserve">(Intercept)</w:t>
            </w:r>
          </w:p>
        </w:tc>
        <w:tc>
          <w:p>
            <w:pPr>
              <w:pStyle w:val="Compact"/>
              <w:jc w:val="right"/>
            </w:pPr>
            <w:r>
              <w:t xml:space="preserve">1.4210526</w:t>
            </w:r>
          </w:p>
        </w:tc>
        <w:tc>
          <w:p>
            <w:pPr>
              <w:pStyle w:val="Compact"/>
              <w:jc w:val="right"/>
            </w:pPr>
            <w:r>
              <w:t xml:space="preserve">0.0902867</w:t>
            </w:r>
          </w:p>
        </w:tc>
        <w:tc>
          <w:p>
            <w:pPr>
              <w:pStyle w:val="Compact"/>
              <w:jc w:val="right"/>
            </w:pPr>
            <w:r>
              <w:t xml:space="preserve">3.892022</w:t>
            </w:r>
          </w:p>
        </w:tc>
        <w:tc>
          <w:p>
            <w:pPr>
              <w:pStyle w:val="Compact"/>
              <w:jc w:val="right"/>
            </w:pPr>
            <w:r>
              <w:t xml:space="preserve">0.0000994</w:t>
            </w:r>
          </w:p>
        </w:tc>
        <w:tc>
          <w:p>
            <w:pPr>
              <w:pStyle w:val="Compact"/>
              <w:jc w:val="right"/>
            </w:pPr>
            <w:r>
              <w:t xml:space="preserve">1.1915224</w:t>
            </w:r>
          </w:p>
        </w:tc>
        <w:tc>
          <w:p>
            <w:pPr>
              <w:pStyle w:val="Compact"/>
              <w:jc w:val="right"/>
            </w:pPr>
            <w:r>
              <w:t xml:space="preserve">1.6978854</w:t>
            </w:r>
          </w:p>
        </w:tc>
      </w:tr>
      <w:tr>
        <w:tc>
          <w:p>
            <w:pPr>
              <w:pStyle w:val="Compact"/>
              <w:jc w:val="left"/>
            </w:pPr>
            <w:r>
              <w:t xml:space="preserve">EducationDoctorate degree</w:t>
            </w:r>
          </w:p>
        </w:tc>
        <w:tc>
          <w:p>
            <w:pPr>
              <w:pStyle w:val="Compact"/>
              <w:jc w:val="right"/>
            </w:pPr>
            <w:r>
              <w:t xml:space="preserve">0.2310669</w:t>
            </w:r>
          </w:p>
        </w:tc>
        <w:tc>
          <w:p>
            <w:pPr>
              <w:pStyle w:val="Compact"/>
              <w:jc w:val="right"/>
            </w:pPr>
            <w:r>
              <w:t xml:space="preserve">0.2617852</w:t>
            </w:r>
          </w:p>
        </w:tc>
        <w:tc>
          <w:p>
            <w:pPr>
              <w:pStyle w:val="Compact"/>
              <w:jc w:val="right"/>
            </w:pPr>
            <w:r>
              <w:t xml:space="preserve">-5.596374</w:t>
            </w:r>
          </w:p>
        </w:tc>
        <w:tc>
          <w:p>
            <w:pPr>
              <w:pStyle w:val="Compact"/>
              <w:jc w:val="right"/>
            </w:pPr>
            <w:r>
              <w:t xml:space="preserve">0.0000000</w:t>
            </w:r>
          </w:p>
        </w:tc>
        <w:tc>
          <w:p>
            <w:pPr>
              <w:pStyle w:val="Compact"/>
              <w:jc w:val="right"/>
            </w:pPr>
            <w:r>
              <w:t xml:space="preserve">0.1356259</w:t>
            </w:r>
          </w:p>
        </w:tc>
        <w:tc>
          <w:p>
            <w:pPr>
              <w:pStyle w:val="Compact"/>
              <w:jc w:val="right"/>
            </w:pPr>
            <w:r>
              <w:t xml:space="preserve">0.3801503</w:t>
            </w:r>
          </w:p>
        </w:tc>
      </w:tr>
      <w:tr>
        <w:tc>
          <w:p>
            <w:pPr>
              <w:pStyle w:val="Compact"/>
              <w:jc w:val="left"/>
            </w:pPr>
            <w:r>
              <w:t xml:space="preserve">EducationLeft school at 16 years</w:t>
            </w:r>
          </w:p>
        </w:tc>
        <w:tc>
          <w:p>
            <w:pPr>
              <w:pStyle w:val="Compact"/>
              <w:jc w:val="right"/>
            </w:pPr>
            <w:r>
              <w:t xml:space="preserve">0.1563786</w:t>
            </w:r>
          </w:p>
        </w:tc>
        <w:tc>
          <w:p>
            <w:pPr>
              <w:pStyle w:val="Compact"/>
              <w:jc w:val="right"/>
            </w:pPr>
            <w:r>
              <w:t xml:space="preserve">0.2757769</w:t>
            </w:r>
          </w:p>
        </w:tc>
        <w:tc>
          <w:p>
            <w:pPr>
              <w:pStyle w:val="Compact"/>
              <w:jc w:val="right"/>
            </w:pPr>
            <w:r>
              <w:t xml:space="preserve">-6.728174</w:t>
            </w:r>
          </w:p>
        </w:tc>
        <w:tc>
          <w:p>
            <w:pPr>
              <w:pStyle w:val="Compact"/>
              <w:jc w:val="right"/>
            </w:pPr>
            <w:r>
              <w:t xml:space="preserve">0.0000000</w:t>
            </w:r>
          </w:p>
        </w:tc>
        <w:tc>
          <w:p>
            <w:pPr>
              <w:pStyle w:val="Compact"/>
              <w:jc w:val="right"/>
            </w:pPr>
            <w:r>
              <w:t xml:space="preserve">0.0885741</w:t>
            </w:r>
          </w:p>
        </w:tc>
        <w:tc>
          <w:p>
            <w:pPr>
              <w:pStyle w:val="Compact"/>
              <w:jc w:val="right"/>
            </w:pPr>
            <w:r>
              <w:t xml:space="preserve">0.2626209</w:t>
            </w:r>
          </w:p>
        </w:tc>
      </w:tr>
      <w:tr>
        <w:tc>
          <w:p>
            <w:pPr>
              <w:pStyle w:val="Compact"/>
              <w:jc w:val="left"/>
            </w:pPr>
            <w:r>
              <w:t xml:space="preserve">EducationLeft school at 17 years</w:t>
            </w:r>
          </w:p>
        </w:tc>
        <w:tc>
          <w:p>
            <w:pPr>
              <w:pStyle w:val="Compact"/>
              <w:jc w:val="right"/>
            </w:pPr>
            <w:r>
              <w:t xml:space="preserve">0.4691358</w:t>
            </w:r>
          </w:p>
        </w:tc>
        <w:tc>
          <w:p>
            <w:pPr>
              <w:pStyle w:val="Compact"/>
              <w:jc w:val="right"/>
            </w:pPr>
            <w:r>
              <w:t xml:space="preserve">0.3834587</w:t>
            </w:r>
          </w:p>
        </w:tc>
        <w:tc>
          <w:p>
            <w:pPr>
              <w:pStyle w:val="Compact"/>
              <w:jc w:val="right"/>
            </w:pPr>
            <w:r>
              <w:t xml:space="preserve">-1.973780</w:t>
            </w:r>
          </w:p>
        </w:tc>
        <w:tc>
          <w:p>
            <w:pPr>
              <w:pStyle w:val="Compact"/>
              <w:jc w:val="right"/>
            </w:pPr>
            <w:r>
              <w:t xml:space="preserve">0.0484068</w:t>
            </w:r>
          </w:p>
        </w:tc>
        <w:tc>
          <w:p>
            <w:pPr>
              <w:pStyle w:val="Compact"/>
              <w:jc w:val="right"/>
            </w:pPr>
            <w:r>
              <w:t xml:space="preserve">0.2158411</w:t>
            </w:r>
          </w:p>
        </w:tc>
        <w:tc>
          <w:p>
            <w:pPr>
              <w:pStyle w:val="Compact"/>
              <w:jc w:val="right"/>
            </w:pPr>
            <w:r>
              <w:t xml:space="preserve">0.9853421</w:t>
            </w:r>
          </w:p>
        </w:tc>
      </w:tr>
      <w:tr>
        <w:tc>
          <w:p>
            <w:pPr>
              <w:pStyle w:val="Compact"/>
              <w:jc w:val="left"/>
            </w:pPr>
            <w:r>
              <w:t xml:space="preserve">EducationLeft school at 18 years</w:t>
            </w:r>
          </w:p>
        </w:tc>
        <w:tc>
          <w:p>
            <w:pPr>
              <w:pStyle w:val="Compact"/>
              <w:jc w:val="right"/>
            </w:pPr>
            <w:r>
              <w:t xml:space="preserve">0.7037037</w:t>
            </w:r>
          </w:p>
        </w:tc>
        <w:tc>
          <w:p>
            <w:pPr>
              <w:pStyle w:val="Compact"/>
              <w:jc w:val="right"/>
            </w:pPr>
            <w:r>
              <w:t xml:space="preserve">0.2194349</w:t>
            </w:r>
          </w:p>
        </w:tc>
        <w:tc>
          <w:p>
            <w:pPr>
              <w:pStyle w:val="Compact"/>
              <w:jc w:val="right"/>
            </w:pPr>
            <w:r>
              <w:t xml:space="preserve">-1.601376</w:t>
            </w:r>
          </w:p>
        </w:tc>
        <w:tc>
          <w:p>
            <w:pPr>
              <w:pStyle w:val="Compact"/>
              <w:jc w:val="right"/>
            </w:pPr>
            <w:r>
              <w:t xml:space="preserve">0.1092936</w:t>
            </w:r>
          </w:p>
        </w:tc>
        <w:tc>
          <w:p>
            <w:pPr>
              <w:pStyle w:val="Compact"/>
              <w:jc w:val="right"/>
            </w:pPr>
            <w:r>
              <w:t xml:space="preserve">0.4572156</w:t>
            </w:r>
          </w:p>
        </w:tc>
        <w:tc>
          <w:p>
            <w:pPr>
              <w:pStyle w:val="Compact"/>
              <w:jc w:val="right"/>
            </w:pPr>
            <w:r>
              <w:t xml:space="preserve">1.0827462</w:t>
            </w:r>
          </w:p>
        </w:tc>
      </w:tr>
      <w:tr>
        <w:tc>
          <w:p>
            <w:pPr>
              <w:pStyle w:val="Compact"/>
              <w:jc w:val="left"/>
            </w:pPr>
            <w:r>
              <w:t xml:space="preserve">EducationLeft school before 16 years</w:t>
            </w:r>
          </w:p>
        </w:tc>
        <w:tc>
          <w:p>
            <w:pPr>
              <w:pStyle w:val="Compact"/>
              <w:jc w:val="right"/>
            </w:pPr>
            <w:r>
              <w:t xml:space="preserve">0.3909465</w:t>
            </w:r>
          </w:p>
        </w:tc>
        <w:tc>
          <w:p>
            <w:pPr>
              <w:pStyle w:val="Compact"/>
              <w:jc w:val="right"/>
            </w:pPr>
            <w:r>
              <w:t xml:space="preserve">0.4046075</w:t>
            </w:r>
          </w:p>
        </w:tc>
        <w:tc>
          <w:p>
            <w:pPr>
              <w:pStyle w:val="Compact"/>
              <w:jc w:val="right"/>
            </w:pPr>
            <w:r>
              <w:t xml:space="preserve">-2.321224</w:t>
            </w:r>
          </w:p>
        </w:tc>
        <w:tc>
          <w:p>
            <w:pPr>
              <w:pStyle w:val="Compact"/>
              <w:jc w:val="right"/>
            </w:pPr>
            <w:r>
              <w:t xml:space="preserve">0.0202748</w:t>
            </w:r>
          </w:p>
        </w:tc>
        <w:tc>
          <w:p>
            <w:pPr>
              <w:pStyle w:val="Compact"/>
              <w:jc w:val="right"/>
            </w:pPr>
            <w:r>
              <w:t xml:space="preserve">0.1704932</w:t>
            </w:r>
          </w:p>
        </w:tc>
        <w:tc>
          <w:p>
            <w:pPr>
              <w:pStyle w:val="Compact"/>
              <w:jc w:val="right"/>
            </w:pPr>
            <w:r>
              <w:t xml:space="preserve">0.8483875</w:t>
            </w:r>
          </w:p>
        </w:tc>
      </w:tr>
      <w:tr>
        <w:tc>
          <w:p>
            <w:pPr>
              <w:pStyle w:val="Compact"/>
              <w:jc w:val="left"/>
            </w:pPr>
            <w:r>
              <w:t xml:space="preserve">EducationMasters degree</w:t>
            </w:r>
          </w:p>
        </w:tc>
        <w:tc>
          <w:p>
            <w:pPr>
              <w:pStyle w:val="Compact"/>
              <w:jc w:val="right"/>
            </w:pPr>
            <w:r>
              <w:t xml:space="preserve">0.2015152</w:t>
            </w:r>
          </w:p>
        </w:tc>
        <w:tc>
          <w:p>
            <w:pPr>
              <w:pStyle w:val="Compact"/>
              <w:jc w:val="right"/>
            </w:pPr>
            <w:r>
              <w:t xml:space="preserve">0.1690270</w:t>
            </w:r>
          </w:p>
        </w:tc>
        <w:tc>
          <w:p>
            <w:pPr>
              <w:pStyle w:val="Compact"/>
              <w:jc w:val="right"/>
            </w:pPr>
            <w:r>
              <w:t xml:space="preserve">-9.477127</w:t>
            </w:r>
          </w:p>
        </w:tc>
        <w:tc>
          <w:p>
            <w:pPr>
              <w:pStyle w:val="Compact"/>
              <w:jc w:val="right"/>
            </w:pPr>
            <w:r>
              <w:t xml:space="preserve">0.0000000</w:t>
            </w:r>
          </w:p>
        </w:tc>
        <w:tc>
          <w:p>
            <w:pPr>
              <w:pStyle w:val="Compact"/>
              <w:jc w:val="right"/>
            </w:pPr>
            <w:r>
              <w:t xml:space="preserve">0.1438453</w:t>
            </w:r>
          </w:p>
        </w:tc>
        <w:tc>
          <w:p>
            <w:pPr>
              <w:pStyle w:val="Compact"/>
              <w:jc w:val="right"/>
            </w:pPr>
            <w:r>
              <w:t xml:space="preserve">0.2792369</w:t>
            </w:r>
          </w:p>
        </w:tc>
      </w:tr>
      <w:tr>
        <w:tc>
          <w:p>
            <w:pPr>
              <w:pStyle w:val="Compact"/>
              <w:jc w:val="left"/>
            </w:pPr>
            <w:r>
              <w:t xml:space="preserve">EducationProfessional certificate/ diploma</w:t>
            </w:r>
          </w:p>
        </w:tc>
        <w:tc>
          <w:p>
            <w:pPr>
              <w:pStyle w:val="Compact"/>
              <w:jc w:val="right"/>
            </w:pPr>
            <w:r>
              <w:t xml:space="preserve">0.2620937</w:t>
            </w:r>
          </w:p>
        </w:tc>
        <w:tc>
          <w:p>
            <w:pPr>
              <w:pStyle w:val="Compact"/>
              <w:jc w:val="right"/>
            </w:pPr>
            <w:r>
              <w:t xml:space="preserve">0.1641717</w:t>
            </w:r>
          </w:p>
        </w:tc>
        <w:tc>
          <w:p>
            <w:pPr>
              <w:pStyle w:val="Compact"/>
              <w:jc w:val="right"/>
            </w:pPr>
            <w:r>
              <w:t xml:space="preserve">-8.156421</w:t>
            </w:r>
          </w:p>
        </w:tc>
        <w:tc>
          <w:p>
            <w:pPr>
              <w:pStyle w:val="Compact"/>
              <w:jc w:val="right"/>
            </w:pPr>
            <w:r>
              <w:t xml:space="preserve">0.0000000</w:t>
            </w:r>
          </w:p>
        </w:tc>
        <w:tc>
          <w:p>
            <w:pPr>
              <w:pStyle w:val="Compact"/>
              <w:jc w:val="right"/>
            </w:pPr>
            <w:r>
              <w:t xml:space="preserve">0.1891425</w:t>
            </w:r>
          </w:p>
        </w:tc>
        <w:tc>
          <w:p>
            <w:pPr>
              <w:pStyle w:val="Compact"/>
              <w:jc w:val="right"/>
            </w:pPr>
            <w:r>
              <w:t xml:space="preserve">0.3601942</w:t>
            </w:r>
          </w:p>
        </w:tc>
      </w:tr>
      <w:tr>
        <w:tc>
          <w:p>
            <w:pPr>
              <w:pStyle w:val="Compact"/>
              <w:jc w:val="left"/>
            </w:pPr>
            <w:r>
              <w:t xml:space="preserve">EducationUniversity degree</w:t>
            </w:r>
          </w:p>
        </w:tc>
        <w:tc>
          <w:p>
            <w:pPr>
              <w:pStyle w:val="Compact"/>
              <w:jc w:val="right"/>
            </w:pPr>
            <w:r>
              <w:t xml:space="preserve">0.3167730</w:t>
            </w:r>
          </w:p>
        </w:tc>
        <w:tc>
          <w:p>
            <w:pPr>
              <w:pStyle w:val="Compact"/>
              <w:jc w:val="right"/>
            </w:pPr>
            <w:r>
              <w:t xml:space="preserve">0.1337320</w:t>
            </w:r>
          </w:p>
        </w:tc>
        <w:tc>
          <w:p>
            <w:pPr>
              <w:pStyle w:val="Compact"/>
              <w:jc w:val="right"/>
            </w:pPr>
            <w:r>
              <w:t xml:space="preserve">-8.596074</w:t>
            </w:r>
          </w:p>
        </w:tc>
        <w:tc>
          <w:p>
            <w:pPr>
              <w:pStyle w:val="Compact"/>
              <w:jc w:val="right"/>
            </w:pPr>
            <w:r>
              <w:t xml:space="preserve">0.0000000</w:t>
            </w:r>
          </w:p>
        </w:tc>
        <w:tc>
          <w:p>
            <w:pPr>
              <w:pStyle w:val="Compact"/>
              <w:jc w:val="right"/>
            </w:pPr>
            <w:r>
              <w:t xml:space="preserve">0.2432935</w:t>
            </w:r>
          </w:p>
        </w:tc>
        <w:tc>
          <w:p>
            <w:pPr>
              <w:pStyle w:val="Compact"/>
              <w:jc w:val="right"/>
            </w:pPr>
            <w:r>
              <w:t xml:space="preserve">0.4110421</w:t>
            </w:r>
          </w:p>
        </w:tc>
      </w:tr>
    </w:tbl>
    <w:p/>
    <w:p>
      <w:pPr>
        <w:pStyle w:val="TableCaption"/>
      </w:pPr>
      <w:r>
        <w:t xml:space="preserve">Table 5</w:t>
      </w:r>
    </w:p>
    <w:tbl>
      <w:tblPr>
        <w:tblStyle w:val="Table"/>
        <w:tblW w:type="pct" w:w="5000.0"/>
        <w:tblLook w:firstRow="1" w:lastRow="0" w:firstColumn="0" w:lastColumn="0" w:noHBand="0" w:noVBand="0" w:val="0020"/>
        <w:tblCaption w:val="Table 5"/>
      </w:tblPr>
      <w:tblGrid>
        <w:gridCol w:w="2402"/>
        <w:gridCol w:w="889"/>
        <w:gridCol w:w="889"/>
        <w:gridCol w:w="1067"/>
        <w:gridCol w:w="889"/>
        <w:gridCol w:w="889"/>
        <w:gridCol w:w="889"/>
      </w:tblGrid>
      <w:tr>
        <w:tc>
          <w:p>
            <w:pPr>
              <w:pStyle w:val="Compact"/>
              <w:jc w:val="left"/>
            </w:pPr>
            <w:r>
              <w:t xml:space="preserve">term</w:t>
            </w:r>
          </w:p>
        </w:tc>
        <w:tc>
          <w:p>
            <w:pPr>
              <w:pStyle w:val="Compact"/>
              <w:jc w:val="right"/>
            </w:pPr>
            <w:r>
              <w:t xml:space="preserve">estimate</w:t>
            </w:r>
          </w:p>
        </w:tc>
        <w:tc>
          <w:p>
            <w:pPr>
              <w:pStyle w:val="Compact"/>
              <w:jc w:val="right"/>
            </w:pPr>
            <w:r>
              <w:t xml:space="preserve">std.error</w:t>
            </w:r>
          </w:p>
        </w:tc>
        <w:tc>
          <w:p>
            <w:pPr>
              <w:pStyle w:val="Compact"/>
              <w:jc w:val="right"/>
            </w:pPr>
            <w:r>
              <w:t xml:space="preserve">statistic</w:t>
            </w:r>
          </w:p>
        </w:tc>
        <w:tc>
          <w:p>
            <w:pPr>
              <w:pStyle w:val="Compact"/>
              <w:jc w:val="right"/>
            </w:pPr>
            <w:r>
              <w:t xml:space="preserve">p.value</w:t>
            </w:r>
          </w:p>
        </w:tc>
        <w:tc>
          <w:p>
            <w:pPr>
              <w:pStyle w:val="Compact"/>
              <w:jc w:val="right"/>
            </w:pPr>
            <w:r>
              <w:t xml:space="preserve">conf.low</w:t>
            </w:r>
          </w:p>
        </w:tc>
        <w:tc>
          <w:p>
            <w:pPr>
              <w:pStyle w:val="Compact"/>
              <w:jc w:val="right"/>
            </w:pPr>
            <w:r>
              <w:t xml:space="preserve">conf.high</w:t>
            </w:r>
          </w:p>
        </w:tc>
      </w:tr>
      <w:tr>
        <w:tc>
          <w:p>
            <w:pPr>
              <w:pStyle w:val="Compact"/>
              <w:jc w:val="left"/>
            </w:pPr>
            <w:r>
              <w:t xml:space="preserve">(Intercept)</w:t>
            </w:r>
          </w:p>
        </w:tc>
        <w:tc>
          <w:p>
            <w:pPr>
              <w:pStyle w:val="Compact"/>
              <w:jc w:val="right"/>
            </w:pPr>
            <w:r>
              <w:t xml:space="preserve">1.9627660</w:t>
            </w:r>
          </w:p>
        </w:tc>
        <w:tc>
          <w:p>
            <w:pPr>
              <w:pStyle w:val="Compact"/>
              <w:jc w:val="right"/>
            </w:pPr>
            <w:r>
              <w:t xml:space="preserve">0.0896057</w:t>
            </w:r>
          </w:p>
        </w:tc>
        <w:tc>
          <w:p>
            <w:pPr>
              <w:pStyle w:val="Compact"/>
              <w:jc w:val="right"/>
            </w:pPr>
            <w:r>
              <w:t xml:space="preserve">7.5258049</w:t>
            </w:r>
          </w:p>
        </w:tc>
        <w:tc>
          <w:p>
            <w:pPr>
              <w:pStyle w:val="Compact"/>
              <w:jc w:val="right"/>
            </w:pPr>
            <w:r>
              <w:t xml:space="preserve">0.0000000</w:t>
            </w:r>
          </w:p>
        </w:tc>
        <w:tc>
          <w:p>
            <w:pPr>
              <w:pStyle w:val="Compact"/>
              <w:jc w:val="right"/>
            </w:pPr>
            <w:r>
              <w:t xml:space="preserve">1.6491960</w:t>
            </w:r>
          </w:p>
        </w:tc>
        <w:tc>
          <w:p>
            <w:pPr>
              <w:pStyle w:val="Compact"/>
              <w:jc w:val="right"/>
            </w:pPr>
            <w:r>
              <w:t xml:space="preserve">2.3437923</w:t>
            </w:r>
          </w:p>
        </w:tc>
      </w:tr>
      <w:tr>
        <w:tc>
          <w:p>
            <w:pPr>
              <w:pStyle w:val="Compact"/>
              <w:jc w:val="left"/>
            </w:pPr>
            <w:r>
              <w:t xml:space="preserve">CountryAustralia</w:t>
            </w:r>
          </w:p>
        </w:tc>
        <w:tc>
          <w:p>
            <w:pPr>
              <w:pStyle w:val="Compact"/>
              <w:jc w:val="right"/>
            </w:pPr>
            <w:r>
              <w:t xml:space="preserve">0.5094851</w:t>
            </w:r>
          </w:p>
        </w:tc>
        <w:tc>
          <w:p>
            <w:pPr>
              <w:pStyle w:val="Compact"/>
              <w:jc w:val="right"/>
            </w:pPr>
            <w:r>
              <w:t xml:space="preserve">0.2865366</w:t>
            </w:r>
          </w:p>
        </w:tc>
        <w:tc>
          <w:p>
            <w:pPr>
              <w:pStyle w:val="Compact"/>
              <w:jc w:val="right"/>
            </w:pPr>
            <w:r>
              <w:t xml:space="preserve">-2.3534675</w:t>
            </w:r>
          </w:p>
        </w:tc>
        <w:tc>
          <w:p>
            <w:pPr>
              <w:pStyle w:val="Compact"/>
              <w:jc w:val="right"/>
            </w:pPr>
            <w:r>
              <w:t xml:space="preserve">0.0185992</w:t>
            </w:r>
          </w:p>
        </w:tc>
        <w:tc>
          <w:p>
            <w:pPr>
              <w:pStyle w:val="Compact"/>
              <w:jc w:val="right"/>
            </w:pPr>
            <w:r>
              <w:t xml:space="preserve">0.2897163</w:t>
            </w:r>
          </w:p>
        </w:tc>
        <w:tc>
          <w:p>
            <w:pPr>
              <w:pStyle w:val="Compact"/>
              <w:jc w:val="right"/>
            </w:pPr>
            <w:r>
              <w:t xml:space="preserve">0.8956780</w:t>
            </w:r>
          </w:p>
        </w:tc>
      </w:tr>
      <w:tr>
        <w:tc>
          <w:p>
            <w:pPr>
              <w:pStyle w:val="Compact"/>
              <w:jc w:val="left"/>
            </w:pPr>
            <w:r>
              <w:t xml:space="preserve">CountryCanada</w:t>
            </w:r>
          </w:p>
        </w:tc>
        <w:tc>
          <w:p>
            <w:pPr>
              <w:pStyle w:val="Compact"/>
              <w:jc w:val="right"/>
            </w:pPr>
            <w:r>
              <w:t xml:space="preserve">0.5716174</w:t>
            </w:r>
          </w:p>
        </w:tc>
        <w:tc>
          <w:p>
            <w:pPr>
              <w:pStyle w:val="Compact"/>
              <w:jc w:val="right"/>
            </w:pPr>
            <w:r>
              <w:t xml:space="preserve">0.2327199</w:t>
            </w:r>
          </w:p>
        </w:tc>
        <w:tc>
          <w:p>
            <w:pPr>
              <w:pStyle w:val="Compact"/>
              <w:jc w:val="right"/>
            </w:pPr>
            <w:r>
              <w:t xml:space="preserve">-2.4032555</w:t>
            </w:r>
          </w:p>
        </w:tc>
        <w:tc>
          <w:p>
            <w:pPr>
              <w:pStyle w:val="Compact"/>
              <w:jc w:val="right"/>
            </w:pPr>
            <w:r>
              <w:t xml:space="preserve">0.0162498</w:t>
            </w:r>
          </w:p>
        </w:tc>
        <w:tc>
          <w:p>
            <w:pPr>
              <w:pStyle w:val="Compact"/>
              <w:jc w:val="right"/>
            </w:pPr>
            <w:r>
              <w:t xml:space="preserve">0.3622430</w:t>
            </w:r>
          </w:p>
        </w:tc>
        <w:tc>
          <w:p>
            <w:pPr>
              <w:pStyle w:val="Compact"/>
              <w:jc w:val="right"/>
            </w:pPr>
            <w:r>
              <w:t xml:space="preserve">0.9042004</w:t>
            </w:r>
          </w:p>
        </w:tc>
      </w:tr>
      <w:tr>
        <w:tc>
          <w:p>
            <w:pPr>
              <w:pStyle w:val="Compact"/>
              <w:jc w:val="left"/>
            </w:pPr>
            <w:r>
              <w:t xml:space="preserve">CountryNew Zealand</w:t>
            </w:r>
          </w:p>
        </w:tc>
        <w:tc>
          <w:p>
            <w:pPr>
              <w:pStyle w:val="Compact"/>
              <w:jc w:val="right"/>
            </w:pPr>
            <w:r>
              <w:t xml:space="preserve">0.7642276</w:t>
            </w:r>
          </w:p>
        </w:tc>
        <w:tc>
          <w:p>
            <w:pPr>
              <w:pStyle w:val="Compact"/>
              <w:jc w:val="right"/>
            </w:pPr>
            <w:r>
              <w:t xml:space="preserve">0.9172581</w:t>
            </w:r>
          </w:p>
        </w:tc>
        <w:tc>
          <w:p>
            <w:pPr>
              <w:pStyle w:val="Compact"/>
              <w:jc w:val="right"/>
            </w:pPr>
            <w:r>
              <w:t xml:space="preserve">-0.2931449</w:t>
            </w:r>
          </w:p>
        </w:tc>
        <w:tc>
          <w:p>
            <w:pPr>
              <w:pStyle w:val="Compact"/>
              <w:jc w:val="right"/>
            </w:pPr>
            <w:r>
              <w:t xml:space="preserve">0.7694114</w:t>
            </w:r>
          </w:p>
        </w:tc>
        <w:tc>
          <w:p>
            <w:pPr>
              <w:pStyle w:val="Compact"/>
              <w:jc w:val="right"/>
            </w:pPr>
            <w:r>
              <w:t xml:space="preserve">0.1256060</w:t>
            </w:r>
          </w:p>
        </w:tc>
        <w:tc>
          <w:p>
            <w:pPr>
              <w:pStyle w:val="Compact"/>
              <w:jc w:val="right"/>
            </w:pPr>
            <w:r>
              <w:t xml:space="preserve">5.8392309</w:t>
            </w:r>
          </w:p>
        </w:tc>
      </w:tr>
      <w:tr>
        <w:tc>
          <w:p>
            <w:pPr>
              <w:pStyle w:val="Compact"/>
              <w:jc w:val="left"/>
            </w:pPr>
            <w:r>
              <w:t xml:space="preserve">CountryOther</w:t>
            </w:r>
          </w:p>
        </w:tc>
        <w:tc>
          <w:p>
            <w:pPr>
              <w:pStyle w:val="Compact"/>
              <w:jc w:val="right"/>
            </w:pPr>
            <w:r>
              <w:t xml:space="preserve">0.6248402</w:t>
            </w:r>
          </w:p>
        </w:tc>
        <w:tc>
          <w:p>
            <w:pPr>
              <w:pStyle w:val="Compact"/>
              <w:jc w:val="right"/>
            </w:pPr>
            <w:r>
              <w:t xml:space="preserve">0.2056252</w:t>
            </w:r>
          </w:p>
        </w:tc>
        <w:tc>
          <w:p>
            <w:pPr>
              <w:pStyle w:val="Compact"/>
              <w:jc w:val="right"/>
            </w:pPr>
            <w:r>
              <w:t xml:space="preserve">-2.2869735</w:t>
            </w:r>
          </w:p>
        </w:tc>
        <w:tc>
          <w:p>
            <w:pPr>
              <w:pStyle w:val="Compact"/>
              <w:jc w:val="right"/>
            </w:pPr>
            <w:r>
              <w:t xml:space="preserve">0.0221974</w:t>
            </w:r>
          </w:p>
        </w:tc>
        <w:tc>
          <w:p>
            <w:pPr>
              <w:pStyle w:val="Compact"/>
              <w:jc w:val="right"/>
            </w:pPr>
            <w:r>
              <w:t xml:space="preserve">0.4178941</w:t>
            </w:r>
          </w:p>
        </w:tc>
        <w:tc>
          <w:p>
            <w:pPr>
              <w:pStyle w:val="Compact"/>
              <w:jc w:val="right"/>
            </w:pPr>
            <w:r>
              <w:t xml:space="preserve">0.9370831</w:t>
            </w:r>
          </w:p>
        </w:tc>
      </w:tr>
      <w:tr>
        <w:tc>
          <w:p>
            <w:pPr>
              <w:pStyle w:val="Compact"/>
              <w:jc w:val="left"/>
            </w:pPr>
            <w:r>
              <w:t xml:space="preserve">CountryRepublic of Ireland</w:t>
            </w:r>
          </w:p>
        </w:tc>
        <w:tc>
          <w:p>
            <w:pPr>
              <w:pStyle w:val="Compact"/>
              <w:jc w:val="right"/>
            </w:pPr>
            <w:r>
              <w:t xml:space="preserve">0.2183508</w:t>
            </w:r>
          </w:p>
        </w:tc>
        <w:tc>
          <w:p>
            <w:pPr>
              <w:pStyle w:val="Compact"/>
              <w:jc w:val="right"/>
            </w:pPr>
            <w:r>
              <w:t xml:space="preserve">0.4961090</w:t>
            </w:r>
          </w:p>
        </w:tc>
        <w:tc>
          <w:p>
            <w:pPr>
              <w:pStyle w:val="Compact"/>
              <w:jc w:val="right"/>
            </w:pPr>
            <w:r>
              <w:t xml:space="preserve">-3.0671736</w:t>
            </w:r>
          </w:p>
        </w:tc>
        <w:tc>
          <w:p>
            <w:pPr>
              <w:pStyle w:val="Compact"/>
              <w:jc w:val="right"/>
            </w:pPr>
            <w:r>
              <w:t xml:space="preserve">0.0021609</w:t>
            </w:r>
          </w:p>
        </w:tc>
        <w:tc>
          <w:p>
            <w:pPr>
              <w:pStyle w:val="Compact"/>
              <w:jc w:val="right"/>
            </w:pPr>
            <w:r>
              <w:t xml:space="preserve">0.0762855</w:t>
            </w:r>
          </w:p>
        </w:tc>
        <w:tc>
          <w:p>
            <w:pPr>
              <w:pStyle w:val="Compact"/>
              <w:jc w:val="right"/>
            </w:pPr>
            <w:r>
              <w:t xml:space="preserve">0.5536823</w:t>
            </w:r>
          </w:p>
        </w:tc>
      </w:tr>
      <w:tr>
        <w:tc>
          <w:p>
            <w:pPr>
              <w:pStyle w:val="Compact"/>
              <w:jc w:val="left"/>
            </w:pPr>
            <w:r>
              <w:t xml:space="preserve">CountryUK</w:t>
            </w:r>
          </w:p>
        </w:tc>
        <w:tc>
          <w:p>
            <w:pPr>
              <w:pStyle w:val="Compact"/>
              <w:jc w:val="right"/>
            </w:pPr>
            <w:r>
              <w:t xml:space="preserve">0.1048420</w:t>
            </w:r>
          </w:p>
        </w:tc>
        <w:tc>
          <w:p>
            <w:pPr>
              <w:pStyle w:val="Compact"/>
              <w:jc w:val="right"/>
            </w:pPr>
            <w:r>
              <w:t xml:space="preserve">0.1216685</w:t>
            </w:r>
          </w:p>
        </w:tc>
        <w:tc>
          <w:p>
            <w:pPr>
              <w:pStyle w:val="Compact"/>
              <w:jc w:val="right"/>
            </w:pPr>
            <w:r>
              <w:t xml:space="preserve">-18.5364405</w:t>
            </w:r>
          </w:p>
        </w:tc>
        <w:tc>
          <w:p>
            <w:pPr>
              <w:pStyle w:val="Compact"/>
              <w:jc w:val="right"/>
            </w:pPr>
            <w:r>
              <w:t xml:space="preserve">0.0000000</w:t>
            </w:r>
          </w:p>
        </w:tc>
        <w:tc>
          <w:p>
            <w:pPr>
              <w:pStyle w:val="Compact"/>
              <w:jc w:val="right"/>
            </w:pPr>
            <w:r>
              <w:t xml:space="preserve">0.0824087</w:t>
            </w:r>
          </w:p>
        </w:tc>
        <w:tc>
          <w:p>
            <w:pPr>
              <w:pStyle w:val="Compact"/>
              <w:jc w:val="right"/>
            </w:pPr>
            <w:r>
              <w:t xml:space="preserve">0.1327920</w:t>
            </w:r>
          </w:p>
        </w:tc>
      </w:tr>
    </w:tbl>
    <w:p/>
    <w:p>
      <w:pPr>
        <w:pStyle w:val="TableCaption"/>
      </w:pPr>
      <w:r>
        <w:t xml:space="preserve">Table 6</w:t>
      </w:r>
    </w:p>
    <w:tbl>
      <w:tblPr>
        <w:tblStyle w:val="Table"/>
        <w:tblW w:type="pct" w:w="0.0"/>
        <w:tblLook w:firstRow="1" w:lastRow="0" w:firstColumn="0" w:lastColumn="0" w:noHBand="0" w:noVBand="0" w:val="0020"/>
        <w:tblCaption w:val="Table 6"/>
      </w:tblPr>
      <w:tblGrid/>
      <w:tr>
        <w:tc>
          <w:p>
            <w:pPr>
              <w:pStyle w:val="Compact"/>
              <w:jc w:val="left"/>
            </w:pPr>
            <w:r>
              <w:t xml:space="preserve">term</w:t>
            </w:r>
          </w:p>
        </w:tc>
        <w:tc>
          <w:p>
            <w:pPr>
              <w:pStyle w:val="Compact"/>
              <w:jc w:val="right"/>
            </w:pPr>
            <w:r>
              <w:t xml:space="preserve">estimate</w:t>
            </w:r>
          </w:p>
        </w:tc>
        <w:tc>
          <w:p>
            <w:pPr>
              <w:pStyle w:val="Compact"/>
              <w:jc w:val="right"/>
            </w:pPr>
            <w:r>
              <w:t xml:space="preserve">std.error</w:t>
            </w:r>
          </w:p>
        </w:tc>
        <w:tc>
          <w:p>
            <w:pPr>
              <w:pStyle w:val="Compact"/>
              <w:jc w:val="right"/>
            </w:pPr>
            <w:r>
              <w:t xml:space="preserve">statistic</w:t>
            </w:r>
          </w:p>
        </w:tc>
        <w:tc>
          <w:p>
            <w:pPr>
              <w:pStyle w:val="Compact"/>
              <w:jc w:val="right"/>
            </w:pPr>
            <w:r>
              <w:t xml:space="preserve">p.value</w:t>
            </w:r>
          </w:p>
        </w:tc>
        <w:tc>
          <w:p>
            <w:pPr>
              <w:pStyle w:val="Compact"/>
              <w:jc w:val="right"/>
            </w:pPr>
            <w:r>
              <w:t xml:space="preserve">conf.low</w:t>
            </w:r>
          </w:p>
        </w:tc>
        <w:tc>
          <w:p>
            <w:pPr>
              <w:pStyle w:val="Compact"/>
              <w:jc w:val="right"/>
            </w:pPr>
            <w:r>
              <w:t xml:space="preserve">conf.high</w:t>
            </w:r>
          </w:p>
        </w:tc>
      </w:tr>
      <w:tr>
        <w:tc>
          <w:p>
            <w:pPr>
              <w:pStyle w:val="Compact"/>
              <w:jc w:val="left"/>
            </w:pPr>
            <w:r>
              <w:t xml:space="preserve">(Intercept)</w:t>
            </w:r>
          </w:p>
        </w:tc>
        <w:tc>
          <w:p>
            <w:pPr>
              <w:pStyle w:val="Compact"/>
              <w:jc w:val="right"/>
            </w:pPr>
            <w:r>
              <w:t xml:space="preserve">0.5065787</w:t>
            </w:r>
          </w:p>
        </w:tc>
        <w:tc>
          <w:p>
            <w:pPr>
              <w:pStyle w:val="Compact"/>
              <w:jc w:val="right"/>
            </w:pPr>
            <w:r>
              <w:t xml:space="preserve">0.0552059</w:t>
            </w:r>
          </w:p>
        </w:tc>
        <w:tc>
          <w:p>
            <w:pPr>
              <w:pStyle w:val="Compact"/>
              <w:jc w:val="right"/>
            </w:pPr>
            <w:r>
              <w:t xml:space="preserve">-12.3188870</w:t>
            </w:r>
          </w:p>
        </w:tc>
        <w:tc>
          <w:p>
            <w:pPr>
              <w:pStyle w:val="Compact"/>
              <w:jc w:val="right"/>
            </w:pPr>
            <w:r>
              <w:t xml:space="preserve">0.0000000</w:t>
            </w:r>
          </w:p>
        </w:tc>
        <w:tc>
          <w:p>
            <w:pPr>
              <w:pStyle w:val="Compact"/>
              <w:jc w:val="right"/>
            </w:pPr>
            <w:r>
              <w:t xml:space="preserve">0.4541883</w:t>
            </w:r>
          </w:p>
        </w:tc>
        <w:tc>
          <w:p>
            <w:pPr>
              <w:pStyle w:val="Compact"/>
              <w:jc w:val="right"/>
            </w:pPr>
            <w:r>
              <w:t xml:space="preserve">0.5639689</w:t>
            </w:r>
          </w:p>
        </w:tc>
      </w:tr>
      <w:tr>
        <w:tc>
          <w:p>
            <w:pPr>
              <w:pStyle w:val="Compact"/>
              <w:jc w:val="left"/>
            </w:pPr>
            <w:r>
              <w:t xml:space="preserve">Nscore</w:t>
            </w:r>
          </w:p>
        </w:tc>
        <w:tc>
          <w:p>
            <w:pPr>
              <w:pStyle w:val="Compact"/>
              <w:jc w:val="right"/>
            </w:pPr>
            <w:r>
              <w:t xml:space="preserve">0.8492295</w:t>
            </w:r>
          </w:p>
        </w:tc>
        <w:tc>
          <w:p>
            <w:pPr>
              <w:pStyle w:val="Compact"/>
              <w:jc w:val="right"/>
            </w:pPr>
            <w:r>
              <w:t xml:space="preserve">0.0628886</w:t>
            </w:r>
          </w:p>
        </w:tc>
        <w:tc>
          <w:p>
            <w:pPr>
              <w:pStyle w:val="Compact"/>
              <w:jc w:val="right"/>
            </w:pPr>
            <w:r>
              <w:t xml:space="preserve">-2.5986547</w:t>
            </w:r>
          </w:p>
        </w:tc>
        <w:tc>
          <w:p>
            <w:pPr>
              <w:pStyle w:val="Compact"/>
              <w:jc w:val="right"/>
            </w:pPr>
            <w:r>
              <w:t xml:space="preserve">0.0093590</w:t>
            </w:r>
          </w:p>
        </w:tc>
        <w:tc>
          <w:p>
            <w:pPr>
              <w:pStyle w:val="Compact"/>
              <w:jc w:val="right"/>
            </w:pPr>
            <w:r>
              <w:t xml:space="preserve">0.7503806</w:t>
            </w:r>
          </w:p>
        </w:tc>
        <w:tc>
          <w:p>
            <w:pPr>
              <w:pStyle w:val="Compact"/>
              <w:jc w:val="right"/>
            </w:pPr>
            <w:r>
              <w:t xml:space="preserve">0.9603011</w:t>
            </w:r>
          </w:p>
        </w:tc>
      </w:tr>
      <w:tr>
        <w:tc>
          <w:p>
            <w:pPr>
              <w:pStyle w:val="Compact"/>
              <w:jc w:val="left"/>
            </w:pPr>
            <w:r>
              <w:t xml:space="preserve">Oscore</w:t>
            </w:r>
          </w:p>
        </w:tc>
        <w:tc>
          <w:p>
            <w:pPr>
              <w:pStyle w:val="Compact"/>
              <w:jc w:val="right"/>
            </w:pPr>
            <w:r>
              <w:t xml:space="preserve">1.8943597</w:t>
            </w:r>
          </w:p>
        </w:tc>
        <w:tc>
          <w:p>
            <w:pPr>
              <w:pStyle w:val="Compact"/>
              <w:jc w:val="right"/>
            </w:pPr>
            <w:r>
              <w:t xml:space="preserve">0.0640757</w:t>
            </w:r>
          </w:p>
        </w:tc>
        <w:tc>
          <w:p>
            <w:pPr>
              <w:pStyle w:val="Compact"/>
              <w:jc w:val="right"/>
            </w:pPr>
            <w:r>
              <w:t xml:space="preserve">9.9707138</w:t>
            </w:r>
          </w:p>
        </w:tc>
        <w:tc>
          <w:p>
            <w:pPr>
              <w:pStyle w:val="Compact"/>
              <w:jc w:val="right"/>
            </w:pPr>
            <w:r>
              <w:t xml:space="preserve">0.0000000</w:t>
            </w:r>
          </w:p>
        </w:tc>
        <w:tc>
          <w:p>
            <w:pPr>
              <w:pStyle w:val="Compact"/>
              <w:jc w:val="right"/>
            </w:pPr>
            <w:r>
              <w:t xml:space="preserve">1.6730282</w:t>
            </w:r>
          </w:p>
        </w:tc>
        <w:tc>
          <w:p>
            <w:pPr>
              <w:pStyle w:val="Compact"/>
              <w:jc w:val="right"/>
            </w:pPr>
            <w:r>
              <w:t xml:space="preserve">2.1510110</w:t>
            </w:r>
          </w:p>
        </w:tc>
      </w:tr>
      <w:tr>
        <w:tc>
          <w:p>
            <w:pPr>
              <w:pStyle w:val="Compact"/>
              <w:jc w:val="left"/>
            </w:pPr>
            <w:r>
              <w:t xml:space="preserve">Impulsive</w:t>
            </w:r>
          </w:p>
        </w:tc>
        <w:tc>
          <w:p>
            <w:pPr>
              <w:pStyle w:val="Compact"/>
              <w:jc w:val="right"/>
            </w:pPr>
            <w:r>
              <w:t xml:space="preserve">1.0250146</w:t>
            </w:r>
          </w:p>
        </w:tc>
        <w:tc>
          <w:p>
            <w:pPr>
              <w:pStyle w:val="Compact"/>
              <w:jc w:val="right"/>
            </w:pPr>
            <w:r>
              <w:t xml:space="preserve">0.0739178</w:t>
            </w:r>
          </w:p>
        </w:tc>
        <w:tc>
          <w:p>
            <w:pPr>
              <w:pStyle w:val="Compact"/>
              <w:jc w:val="right"/>
            </w:pPr>
            <w:r>
              <w:t xml:space="preserve">0.3342484</w:t>
            </w:r>
          </w:p>
        </w:tc>
        <w:tc>
          <w:p>
            <w:pPr>
              <w:pStyle w:val="Compact"/>
              <w:jc w:val="right"/>
            </w:pPr>
            <w:r>
              <w:t xml:space="preserve">0.7381921</w:t>
            </w:r>
          </w:p>
        </w:tc>
        <w:tc>
          <w:p>
            <w:pPr>
              <w:pStyle w:val="Compact"/>
              <w:jc w:val="right"/>
            </w:pPr>
            <w:r>
              <w:t xml:space="preserve">0.8867849</w:t>
            </w:r>
          </w:p>
        </w:tc>
        <w:tc>
          <w:p>
            <w:pPr>
              <w:pStyle w:val="Compact"/>
              <w:jc w:val="right"/>
            </w:pPr>
            <w:r>
              <w:t xml:space="preserve">1.1850373</w:t>
            </w:r>
          </w:p>
        </w:tc>
      </w:tr>
      <w:tr>
        <w:tc>
          <w:p>
            <w:pPr>
              <w:pStyle w:val="Compact"/>
              <w:jc w:val="left"/>
            </w:pPr>
            <w:r>
              <w:t xml:space="preserve">SS</w:t>
            </w:r>
          </w:p>
        </w:tc>
        <w:tc>
          <w:p>
            <w:pPr>
              <w:pStyle w:val="Compact"/>
              <w:jc w:val="right"/>
            </w:pPr>
            <w:r>
              <w:t xml:space="preserve">1.8695768</w:t>
            </w:r>
          </w:p>
        </w:tc>
        <w:tc>
          <w:p>
            <w:pPr>
              <w:pStyle w:val="Compact"/>
              <w:jc w:val="right"/>
            </w:pPr>
            <w:r>
              <w:t xml:space="preserve">0.0781662</w:t>
            </w:r>
          </w:p>
        </w:tc>
        <w:tc>
          <w:p>
            <w:pPr>
              <w:pStyle w:val="Compact"/>
              <w:jc w:val="right"/>
            </w:pPr>
            <w:r>
              <w:t xml:space="preserve">8.0048959</w:t>
            </w:r>
          </w:p>
        </w:tc>
        <w:tc>
          <w:p>
            <w:pPr>
              <w:pStyle w:val="Compact"/>
              <w:jc w:val="right"/>
            </w:pPr>
            <w:r>
              <w:t xml:space="preserve">0.0000000</w:t>
            </w:r>
          </w:p>
        </w:tc>
        <w:tc>
          <w:p>
            <w:pPr>
              <w:pStyle w:val="Compact"/>
              <w:jc w:val="right"/>
            </w:pPr>
            <w:r>
              <w:t xml:space="preserve">1.6060172</w:t>
            </w:r>
          </w:p>
        </w:tc>
        <w:tc>
          <w:p>
            <w:pPr>
              <w:pStyle w:val="Compact"/>
              <w:jc w:val="right"/>
            </w:pPr>
            <w:r>
              <w:t xml:space="preserve">2.1822075</w:t>
            </w:r>
          </w:p>
        </w:tc>
      </w:tr>
      <w:tr>
        <w:tc>
          <w:p>
            <w:pPr>
              <w:pStyle w:val="Compact"/>
              <w:jc w:val="left"/>
            </w:pPr>
            <w:r>
              <w:t xml:space="preserve">Cscore</w:t>
            </w:r>
          </w:p>
        </w:tc>
        <w:tc>
          <w:p>
            <w:pPr>
              <w:pStyle w:val="Compact"/>
              <w:jc w:val="right"/>
            </w:pPr>
            <w:r>
              <w:t xml:space="preserve">0.7638753</w:t>
            </w:r>
          </w:p>
        </w:tc>
        <w:tc>
          <w:p>
            <w:pPr>
              <w:pStyle w:val="Compact"/>
              <w:jc w:val="right"/>
            </w:pPr>
            <w:r>
              <w:t xml:space="preserve">0.0638408</w:t>
            </w:r>
          </w:p>
        </w:tc>
        <w:tc>
          <w:p>
            <w:pPr>
              <w:pStyle w:val="Compact"/>
              <w:jc w:val="right"/>
            </w:pPr>
            <w:r>
              <w:t xml:space="preserve">-4.2190991</w:t>
            </w:r>
          </w:p>
        </w:tc>
        <w:tc>
          <w:p>
            <w:pPr>
              <w:pStyle w:val="Compact"/>
              <w:jc w:val="right"/>
            </w:pPr>
            <w:r>
              <w:t xml:space="preserve">0.0000245</w:t>
            </w:r>
          </w:p>
        </w:tc>
        <w:tc>
          <w:p>
            <w:pPr>
              <w:pStyle w:val="Compact"/>
              <w:jc w:val="right"/>
            </w:pPr>
            <w:r>
              <w:t xml:space="preserve">0.6736055</w:t>
            </w:r>
          </w:p>
        </w:tc>
        <w:tc>
          <w:p>
            <w:pPr>
              <w:pStyle w:val="Compact"/>
              <w:jc w:val="right"/>
            </w:pPr>
            <w:r>
              <w:t xml:space="preserve">0.8652686</w:t>
            </w:r>
          </w:p>
        </w:tc>
      </w:tr>
      <w:tr>
        <w:tc>
          <w:p>
            <w:pPr>
              <w:pStyle w:val="Compact"/>
              <w:jc w:val="left"/>
            </w:pPr>
            <w:r>
              <w:t xml:space="preserve">AScore</w:t>
            </w:r>
          </w:p>
        </w:tc>
        <w:tc>
          <w:p>
            <w:pPr>
              <w:pStyle w:val="Compact"/>
              <w:jc w:val="right"/>
            </w:pPr>
            <w:r>
              <w:t xml:space="preserve">0.8950084</w:t>
            </w:r>
          </w:p>
        </w:tc>
        <w:tc>
          <w:p>
            <w:pPr>
              <w:pStyle w:val="Compact"/>
              <w:jc w:val="right"/>
            </w:pPr>
            <w:r>
              <w:t xml:space="preserve">0.0573942</w:t>
            </w:r>
          </w:p>
        </w:tc>
        <w:tc>
          <w:p>
            <w:pPr>
              <w:pStyle w:val="Compact"/>
              <w:jc w:val="right"/>
            </w:pPr>
            <w:r>
              <w:t xml:space="preserve">-1.9326377</w:t>
            </w:r>
          </w:p>
        </w:tc>
        <w:tc>
          <w:p>
            <w:pPr>
              <w:pStyle w:val="Compact"/>
              <w:jc w:val="right"/>
            </w:pPr>
            <w:r>
              <w:t xml:space="preserve">0.0532809</w:t>
            </w:r>
          </w:p>
        </w:tc>
        <w:tc>
          <w:p>
            <w:pPr>
              <w:pStyle w:val="Compact"/>
              <w:jc w:val="right"/>
            </w:pPr>
            <w:r>
              <w:t xml:space="preserve">0.7995133</w:t>
            </w:r>
          </w:p>
        </w:tc>
        <w:tc>
          <w:p>
            <w:pPr>
              <w:pStyle w:val="Compact"/>
              <w:jc w:val="right"/>
            </w:pPr>
            <w:r>
              <w:t xml:space="preserve">1.0013566</w:t>
            </w:r>
          </w:p>
        </w:tc>
      </w:tr>
      <w:tr>
        <w:tc>
          <w:p>
            <w:pPr>
              <w:pStyle w:val="Compact"/>
              <w:jc w:val="left"/>
            </w:pPr>
            <w:r>
              <w:t xml:space="preserve">Escore</w:t>
            </w:r>
          </w:p>
        </w:tc>
        <w:tc>
          <w:p>
            <w:pPr>
              <w:pStyle w:val="Compact"/>
              <w:jc w:val="right"/>
            </w:pPr>
            <w:r>
              <w:t xml:space="preserve">0.8008719</w:t>
            </w:r>
          </w:p>
        </w:tc>
        <w:tc>
          <w:p>
            <w:pPr>
              <w:pStyle w:val="Compact"/>
              <w:jc w:val="right"/>
            </w:pPr>
            <w:r>
              <w:t xml:space="preserve">0.0650494</w:t>
            </w:r>
          </w:p>
        </w:tc>
        <w:tc>
          <w:p>
            <w:pPr>
              <w:pStyle w:val="Compact"/>
              <w:jc w:val="right"/>
            </w:pPr>
            <w:r>
              <w:t xml:space="preserve">-3.4136236</w:t>
            </w:r>
          </w:p>
        </w:tc>
        <w:tc>
          <w:p>
            <w:pPr>
              <w:pStyle w:val="Compact"/>
              <w:jc w:val="right"/>
            </w:pPr>
            <w:r>
              <w:t xml:space="preserve">0.0006411</w:t>
            </w:r>
          </w:p>
        </w:tc>
        <w:tc>
          <w:p>
            <w:pPr>
              <w:pStyle w:val="Compact"/>
              <w:jc w:val="right"/>
            </w:pPr>
            <w:r>
              <w:t xml:space="preserve">0.7046273</w:t>
            </w:r>
          </w:p>
        </w:tc>
        <w:tc>
          <w:p>
            <w:pPr>
              <w:pStyle w:val="Compact"/>
              <w:jc w:val="right"/>
            </w:pPr>
            <w:r>
              <w:t xml:space="preserve">0.9094147</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22">
    <w:nsid w:val="ea454b4c"/>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23">
    <w:nsid w:val="71315dca"/>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000">
    <w:abstractNumId w:val="990"/>
  </w:num>
  <w:num w:numId="100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8" Target="media/rId28.png" /><Relationship Type="http://schemas.openxmlformats.org/officeDocument/2006/relationships/image" Id="rId37" Target="media/rId37.png" /><Relationship Type="http://schemas.openxmlformats.org/officeDocument/2006/relationships/hyperlink" Id="rId24" Target="http://archive.ics.uci.edu/ml" TargetMode="External" /><Relationship Type="http://schemas.openxmlformats.org/officeDocument/2006/relationships/hyperlink" Id="rId25" Target="http://www.sthda.com/english/wiki/ggplot2-quick-correlation-matrix-heatmap-r-software-and-data-visualization" TargetMode="External" /><Relationship Type="http://schemas.openxmlformats.org/officeDocument/2006/relationships/hyperlink" Id="rId26" Target="https://adf.org.au/drug-facts/psilocybin/" TargetMode="External" /><Relationship Type="http://schemas.openxmlformats.org/officeDocument/2006/relationships/hyperlink" Id="rId22" Target="https://deadiversion.usdoj.gov/schedules/orangebook/c_cs_alpha.pdf" TargetMode="External" /><Relationship Type="http://schemas.openxmlformats.org/officeDocument/2006/relationships/hyperlink" Id="rId27" Target="https://doi.org/10.1016/j.jrp.2012.02.009" TargetMode="External" /><Relationship Type="http://schemas.openxmlformats.org/officeDocument/2006/relationships/hyperlink" Id="rId23" Target="https://www.dea.gov/drug-information/drug-scheduling" TargetMode="External" /></Relationships>
</file>

<file path=word/_rels/footnotes.xml.rels><?xml version="1.0" encoding="UTF-8"?>
<Relationships xmlns="http://schemas.openxmlformats.org/package/2006/relationships"><Relationship Type="http://schemas.openxmlformats.org/officeDocument/2006/relationships/hyperlink" Id="rId24" Target="http://archive.ics.uci.edu/ml" TargetMode="External" /><Relationship Type="http://schemas.openxmlformats.org/officeDocument/2006/relationships/hyperlink" Id="rId25" Target="http://www.sthda.com/english/wiki/ggplot2-quick-correlation-matrix-heatmap-r-software-and-data-visualization" TargetMode="External" /><Relationship Type="http://schemas.openxmlformats.org/officeDocument/2006/relationships/hyperlink" Id="rId26" Target="https://adf.org.au/drug-facts/psilocybin/" TargetMode="External" /><Relationship Type="http://schemas.openxmlformats.org/officeDocument/2006/relationships/hyperlink" Id="rId22" Target="https://deadiversion.usdoj.gov/schedules/orangebook/c_cs_alpha.pdf" TargetMode="External" /><Relationship Type="http://schemas.openxmlformats.org/officeDocument/2006/relationships/hyperlink" Id="rId27" Target="https://doi.org/10.1016/j.jrp.2012.02.009" TargetMode="External" /><Relationship Type="http://schemas.openxmlformats.org/officeDocument/2006/relationships/hyperlink" Id="rId23" Target="https://www.dea.gov/drug-information/drug-schedul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personality scores and drug use: factors that contribute to increased use of psilocybin (magic mushrooms)</dc:title>
  <dc:creator>G.I. Joe: Isa Rundell and Grace Vo</dc:creator>
  <cp:keywords/>
  <dcterms:created xsi:type="dcterms:W3CDTF">2021-11-17T01:00:15Z</dcterms:created>
  <dcterms:modified xsi:type="dcterms:W3CDTF">2021-11-17T01:00:15Z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16th, 2021</vt:lpwstr>
  </property>
  <property fmtid="{D5CDD505-2E9C-101B-9397-08002B2CF9AE}" pid="3" name="output">
    <vt:lpwstr/>
  </property>
</Properties>
</file>