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9.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w:t>
      </w:r>
    </w:p>
    <w:p>
      <w:pPr>
        <w:pStyle w:val="Compact"/>
        <w:numPr>
          <w:ilvl w:val="0"/>
          <w:numId w:val="1003"/>
        </w:numPr>
      </w:pP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4"/>
        </w:numPr>
      </w:pPr>
      <w:r>
        <w:t xml:space="preserve">You have requested register data from Statistics Sweden (SCB) and The National Board of Health and Welfare (NBHW; SoS)</w:t>
      </w:r>
    </w:p>
    <w:p>
      <w:pPr>
        <w:pStyle w:val="Compact"/>
        <w:numPr>
          <w:ilvl w:val="0"/>
          <w:numId w:val="1004"/>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4"/>
        </w:numPr>
      </w:pPr>
      <w:r>
        <w:t xml:space="preserve">What do you do now?</w:t>
      </w:r>
    </w:p>
    <w:bookmarkEnd w:id="25"/>
    <w:bookmarkStart w:id="26" w:name="sas7bdat"/>
    <w:p>
      <w:pPr>
        <w:pStyle w:val="Heading2"/>
      </w:pPr>
      <w:r>
        <w:t xml:space="preserve">.sas7bdat</w:t>
      </w:r>
    </w:p>
    <w:p>
      <w:pPr>
        <w:pStyle w:val="Compact"/>
        <w:numPr>
          <w:ilvl w:val="0"/>
          <w:numId w:val="1005"/>
        </w:numPr>
      </w:pPr>
      <w:r>
        <w:t xml:space="preserve">Many govermental agencies are using SAS</w:t>
      </w:r>
    </w:p>
    <w:p>
      <w:pPr>
        <w:pStyle w:val="Compact"/>
        <w:numPr>
          <w:ilvl w:val="0"/>
          <w:numId w:val="1005"/>
        </w:numPr>
      </w:pPr>
      <w:r>
        <w:t xml:space="preserve">Their standard format when delivering big data sets</w:t>
      </w:r>
    </w:p>
    <w:p>
      <w:pPr>
        <w:pStyle w:val="Compact"/>
        <w:numPr>
          <w:ilvl w:val="0"/>
          <w:numId w:val="1005"/>
        </w:numPr>
      </w:pPr>
      <w:r>
        <w:t xml:space="preserve">SAS is great for handling big data sets (no need to read everything into memory)</w:t>
      </w:r>
    </w:p>
    <w:p>
      <w:pPr>
        <w:pStyle w:val="Compact"/>
        <w:numPr>
          <w:ilvl w:val="0"/>
          <w:numId w:val="1005"/>
        </w:numPr>
      </w:pPr>
      <w:r>
        <w:t xml:space="preserve">But you don’t know how to use SAS 😩</w:t>
      </w:r>
    </w:p>
    <w:bookmarkEnd w:id="26"/>
    <w:bookmarkStart w:id="30" w:name="first-try"/>
    <w:p>
      <w:pPr>
        <w:pStyle w:val="Heading2"/>
      </w:pPr>
      <w:r>
        <w:t xml:space="preserve">First try</w:t>
      </w:r>
    </w:p>
    <w:p>
      <w:pPr>
        <w:pStyle w:val="Compact"/>
        <w:numPr>
          <w:ilvl w:val="0"/>
          <w:numId w:val="1006"/>
        </w:numPr>
      </w:pPr>
      <w:r>
        <w:t xml:space="preserve">It is often possible to read medium-sized SAS files to R by</w:t>
      </w:r>
      <w:r>
        <w:t xml:space="preserve"> </w:t>
      </w:r>
      <w:r>
        <w:rPr>
          <w:rStyle w:val="VerbatimChar"/>
        </w:rPr>
        <w:t xml:space="preserve">haven::read_sas()</w:t>
      </w:r>
    </w:p>
    <w:p>
      <w:pPr>
        <w:pStyle w:val="Compact"/>
        <w:numPr>
          <w:ilvl w:val="0"/>
          <w:numId w:val="1006"/>
        </w:numPr>
      </w:pPr>
      <w:r>
        <w:t xml:space="preserve">Based on the</w:t>
      </w:r>
      <w:r>
        <w:t xml:space="preserve"> </w:t>
      </w:r>
      <w:hyperlink r:id="rId27">
        <w:r>
          <w:rPr>
            <w:rStyle w:val="Hyperlink"/>
          </w:rPr>
          <w:t xml:space="preserve">ReadStat C library</w:t>
        </w:r>
      </w:hyperlink>
    </w:p>
    <w:p>
      <w:pPr>
        <w:pStyle w:val="Compact"/>
        <w:numPr>
          <w:ilvl w:val="0"/>
          <w:numId w:val="1006"/>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6"/>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6"/>
        </w:numPr>
      </w:pPr>
      <w:r>
        <w:t xml:space="preserve">But similar trust always applies when you use open source software, which depend on other peoples software, which depends on …</w:t>
      </w:r>
    </w:p>
    <w:p>
      <w:pPr>
        <w:pStyle w:val="Compact"/>
        <w:numPr>
          <w:ilvl w:val="0"/>
          <w:numId w:val="1006"/>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7"/>
        </w:numPr>
      </w:pPr>
      <w:r>
        <w:t xml:space="preserve">Best practice for current SAS version (9.4) is to export only nessecary data to csv</w:t>
      </w:r>
    </w:p>
    <w:p>
      <w:pPr>
        <w:pStyle w:val="Compact"/>
        <w:numPr>
          <w:ilvl w:val="1"/>
          <w:numId w:val="1008"/>
        </w:numPr>
      </w:pPr>
      <w:r>
        <w:t xml:space="preserve">SAS Viya (another solution not likely replacing SAS 9.4) can export parquet files</w:t>
      </w:r>
    </w:p>
    <w:p>
      <w:pPr>
        <w:pStyle w:val="Compact"/>
        <w:numPr>
          <w:ilvl w:val="0"/>
          <w:numId w:val="1007"/>
        </w:numPr>
      </w:pPr>
      <w:r>
        <w:t xml:space="preserve">You need a SAS license (expensive) as well as some SAS syntax for this</w:t>
      </w:r>
    </w:p>
    <w:p>
      <w:pPr>
        <w:pStyle w:val="Compact"/>
        <w:numPr>
          <w:ilvl w:val="1"/>
          <w:numId w:val="1009"/>
        </w:numPr>
      </w:pPr>
      <w:r>
        <w:t xml:space="preserve">But you might ask GenAI to generate such code for you</w:t>
      </w:r>
    </w:p>
    <w:p>
      <w:pPr>
        <w:pStyle w:val="Compact"/>
        <w:numPr>
          <w:ilvl w:val="0"/>
          <w:numId w:val="1007"/>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10"/>
        </w:numPr>
      </w:pPr>
      <w:r>
        <w:t xml:space="preserve">a database is a collection of</w:t>
      </w:r>
      <w:r>
        <w:t xml:space="preserve"> </w:t>
      </w:r>
      <w:r>
        <w:t xml:space="preserve">“tables”</w:t>
      </w:r>
      <w:r>
        <w:t xml:space="preserve"> </w:t>
      </w:r>
      <w:r>
        <w:t xml:space="preserve">(tabular data frames)</w:t>
      </w:r>
    </w:p>
    <w:p>
      <w:pPr>
        <w:numPr>
          <w:ilvl w:val="0"/>
          <w:numId w:val="1010"/>
        </w:numPr>
      </w:pPr>
      <w:r>
        <w:t xml:space="preserve">Differences between data frames and database tables:</w:t>
      </w:r>
    </w:p>
    <w:p>
      <w:pPr>
        <w:pStyle w:val="Compact"/>
        <w:numPr>
          <w:ilvl w:val="1"/>
          <w:numId w:val="1011"/>
        </w:numPr>
      </w:pPr>
      <w:r>
        <w:t xml:space="preserve">Database tables are stored on disk and can be arbitrarily large.</w:t>
      </w:r>
    </w:p>
    <w:p>
      <w:pPr>
        <w:pStyle w:val="Compact"/>
        <w:numPr>
          <w:ilvl w:val="1"/>
          <w:numId w:val="1011"/>
        </w:numPr>
      </w:pPr>
      <w:r>
        <w:t xml:space="preserve">Data frames are stored in memory</w:t>
      </w:r>
    </w:p>
    <w:p>
      <w:pPr>
        <w:pStyle w:val="Compact"/>
        <w:numPr>
          <w:ilvl w:val="1"/>
          <w:numId w:val="1011"/>
        </w:numPr>
      </w:pPr>
      <w:r>
        <w:t xml:space="preserve">Database tables almost always have indexes; makes it possible to quickly find rows of interest</w:t>
      </w:r>
    </w:p>
    <w:p>
      <w:pPr>
        <w:pStyle w:val="Compact"/>
        <w:numPr>
          <w:ilvl w:val="2"/>
          <w:numId w:val="1012"/>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1"/>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3"/>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3"/>
        </w:numPr>
      </w:pPr>
      <w:r>
        <w:t xml:space="preserve">These databases are called row-oriented because the data is stored row-by-row, rather than column-by-column like R.</w:t>
      </w:r>
    </w:p>
    <w:p>
      <w:pPr>
        <w:numPr>
          <w:ilvl w:val="0"/>
          <w:numId w:val="1013"/>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4"/>
        </w:numPr>
      </w:pPr>
      <w:r>
        <w:t xml:space="preserve">Different database systems may use different query languages.</w:t>
      </w:r>
    </w:p>
    <w:p>
      <w:pPr>
        <w:pStyle w:val="Compact"/>
        <w:numPr>
          <w:ilvl w:val="0"/>
          <w:numId w:val="1014"/>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4"/>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5"/>
        </w:numPr>
      </w:pPr>
      <w:r>
        <w:t xml:space="preserve">Retrieve data (</w:t>
      </w:r>
      <w:r>
        <w:rPr>
          <w:rStyle w:val="VerbatimChar"/>
        </w:rPr>
        <w:t xml:space="preserve">SELECT</w:t>
      </w:r>
      <w:r>
        <w:t xml:space="preserve">)</w:t>
      </w:r>
    </w:p>
    <w:p>
      <w:pPr>
        <w:pStyle w:val="Compact"/>
        <w:numPr>
          <w:ilvl w:val="0"/>
          <w:numId w:val="1015"/>
        </w:numPr>
      </w:pPr>
      <w:r>
        <w:t xml:space="preserve">Filter data (</w:t>
      </w:r>
      <w:r>
        <w:rPr>
          <w:rStyle w:val="VerbatimChar"/>
        </w:rPr>
        <w:t xml:space="preserve">WHERE</w:t>
      </w:r>
      <w:r>
        <w:t xml:space="preserve">)</w:t>
      </w:r>
    </w:p>
    <w:p>
      <w:pPr>
        <w:pStyle w:val="Compact"/>
        <w:numPr>
          <w:ilvl w:val="0"/>
          <w:numId w:val="1015"/>
        </w:numPr>
      </w:pPr>
      <w:r>
        <w:t xml:space="preserve">Aggregate data (</w:t>
      </w:r>
      <w:r>
        <w:rPr>
          <w:rStyle w:val="VerbatimChar"/>
        </w:rPr>
        <w:t xml:space="preserve">GROUP BY</w:t>
      </w:r>
      <w:r>
        <w:t xml:space="preserve">)</w:t>
      </w:r>
    </w:p>
    <w:p>
      <w:pPr>
        <w:pStyle w:val="Compact"/>
        <w:numPr>
          <w:ilvl w:val="0"/>
          <w:numId w:val="1015"/>
        </w:numPr>
      </w:pPr>
      <w:r>
        <w:t xml:space="preserve">Combine tables (</w:t>
      </w:r>
      <w:r>
        <w:rPr>
          <w:rStyle w:val="VerbatimChar"/>
        </w:rPr>
        <w:t xml:space="preserve">JOIN</w:t>
      </w:r>
      <w:r>
        <w:t xml:space="preserve">)</w:t>
      </w:r>
    </w:p>
    <w:p>
      <w:pPr>
        <w:pStyle w:val="Compact"/>
        <w:numPr>
          <w:ilvl w:val="0"/>
          <w:numId w:val="1015"/>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6"/>
        </w:numPr>
      </w:pPr>
      <w:r>
        <w:t xml:space="preserve">SQL is a standard, but implementations differ slightly.</w:t>
      </w:r>
    </w:p>
    <w:p>
      <w:pPr>
        <w:pStyle w:val="Compact"/>
        <w:numPr>
          <w:ilvl w:val="0"/>
          <w:numId w:val="1016"/>
        </w:numPr>
      </w:pPr>
      <w:r>
        <w:t xml:space="preserve">These variations are called</w:t>
      </w:r>
      <w:r>
        <w:t xml:space="preserve"> </w:t>
      </w:r>
      <w:r>
        <w:rPr>
          <w:b/>
          <w:bCs/>
        </w:rPr>
        <w:t xml:space="preserve">dialects</w:t>
      </w:r>
      <w:r>
        <w:t xml:space="preserve">.</w:t>
      </w:r>
    </w:p>
    <w:p>
      <w:pPr>
        <w:pStyle w:val="Compact"/>
        <w:numPr>
          <w:ilvl w:val="1"/>
          <w:numId w:val="1017"/>
        </w:numPr>
      </w:pPr>
      <w:r>
        <w:rPr>
          <w:b/>
          <w:bCs/>
        </w:rPr>
        <w:t xml:space="preserve">T-SQL</w:t>
      </w:r>
      <w:r>
        <w:t xml:space="preserve"> </w:t>
      </w:r>
      <w:r>
        <w:t xml:space="preserve">(Microsoft SQL Server)</w:t>
      </w:r>
    </w:p>
    <w:p>
      <w:pPr>
        <w:pStyle w:val="Compact"/>
        <w:numPr>
          <w:ilvl w:val="1"/>
          <w:numId w:val="1017"/>
        </w:numPr>
      </w:pPr>
      <w:r>
        <w:rPr>
          <w:b/>
          <w:bCs/>
        </w:rPr>
        <w:t xml:space="preserve">PL/SQL</w:t>
      </w:r>
      <w:r>
        <w:t xml:space="preserve"> </w:t>
      </w:r>
      <w:r>
        <w:t xml:space="preserve">(Oracle)</w:t>
      </w:r>
    </w:p>
    <w:p>
      <w:pPr>
        <w:pStyle w:val="Compact"/>
        <w:numPr>
          <w:ilvl w:val="1"/>
          <w:numId w:val="1017"/>
        </w:numPr>
      </w:pPr>
      <w:r>
        <w:t xml:space="preserve">PostgreSQL SQL dialect</w:t>
      </w:r>
    </w:p>
    <w:p>
      <w:pPr>
        <w:pStyle w:val="Compact"/>
        <w:numPr>
          <w:ilvl w:val="1"/>
          <w:numId w:val="1017"/>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8"/>
        </w:numPr>
      </w:pPr>
      <w:r>
        <w:t xml:space="preserve">Selects two columns</w:t>
      </w:r>
    </w:p>
    <w:p>
      <w:pPr>
        <w:pStyle w:val="Compact"/>
        <w:numPr>
          <w:ilvl w:val="0"/>
          <w:numId w:val="1018"/>
        </w:numPr>
      </w:pPr>
      <w:r>
        <w:t xml:space="preserve">Filters rows</w:t>
      </w:r>
    </w:p>
    <w:p>
      <w:pPr>
        <w:pStyle w:val="Compact"/>
        <w:numPr>
          <w:ilvl w:val="0"/>
          <w:numId w:val="1018"/>
        </w:numPr>
      </w:pPr>
      <w:r>
        <w:t xml:space="preserve">Sorts the result</w:t>
      </w:r>
    </w:p>
    <w:bookmarkEnd w:id="52"/>
    <w:bookmarkStart w:id="56" w:name="relevance-1"/>
    <w:p>
      <w:pPr>
        <w:pStyle w:val="Heading2"/>
      </w:pPr>
      <w:r>
        <w:t xml:space="preserve">Relevance?</w:t>
      </w:r>
    </w:p>
    <w:p>
      <w:pPr>
        <w:pStyle w:val="Compact"/>
        <w:numPr>
          <w:ilvl w:val="0"/>
          <w:numId w:val="1019"/>
        </w:numPr>
      </w:pPr>
      <w:r>
        <w:t xml:space="preserve">I don’t think SQL is a necessary skill to master for most statisticians</w:t>
      </w:r>
    </w:p>
    <w:p>
      <w:pPr>
        <w:pStyle w:val="Compact"/>
        <w:numPr>
          <w:ilvl w:val="0"/>
          <w:numId w:val="1019"/>
        </w:numPr>
      </w:pPr>
      <w:r>
        <w:t xml:space="preserve">You should nevertheless be aware of its existence and understand simple code examples as above</w:t>
      </w:r>
    </w:p>
    <w:p>
      <w:pPr>
        <w:pStyle w:val="Compact"/>
        <w:numPr>
          <w:ilvl w:val="0"/>
          <w:numId w:val="1019"/>
        </w:numPr>
      </w:pPr>
      <w:r>
        <w:t xml:space="preserve">If an employer requires SQL skills, you can probably learn enough if/when needed</w:t>
      </w:r>
    </w:p>
    <w:p>
      <w:pPr>
        <w:pStyle w:val="Compact"/>
        <w:numPr>
          <w:ilvl w:val="0"/>
          <w:numId w:val="1019"/>
        </w:numPr>
      </w:pPr>
      <w:r>
        <w:t xml:space="preserve">Nevertheless, the more languages/tools etc you know, the more competitive you become (but don’t sacrifice statistical knowledge for technical.</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20"/>
        </w:numPr>
      </w:pPr>
      <w:r>
        <w:t xml:space="preserve">Free and open source (backed by foundation)</w:t>
      </w:r>
    </w:p>
    <w:p>
      <w:pPr>
        <w:pStyle w:val="Compact"/>
        <w:numPr>
          <w:ilvl w:val="0"/>
          <w:numId w:val="1020"/>
        </w:numPr>
      </w:pPr>
      <w:r>
        <w:t xml:space="preserve">Column based</w:t>
      </w:r>
    </w:p>
    <w:p>
      <w:pPr>
        <w:pStyle w:val="Compact"/>
        <w:numPr>
          <w:ilvl w:val="0"/>
          <w:numId w:val="1020"/>
        </w:numPr>
      </w:pPr>
      <w:r>
        <w:t xml:space="preserve">Very easy to set up</w:t>
      </w:r>
    </w:p>
    <w:p>
      <w:pPr>
        <w:pStyle w:val="Compact"/>
        <w:numPr>
          <w:ilvl w:val="0"/>
          <w:numId w:val="1020"/>
        </w:numPr>
      </w:pPr>
      <w:r>
        <w:t xml:space="preserve">Very efficient!</w:t>
      </w:r>
    </w:p>
    <w:p>
      <w:pPr>
        <w:pStyle w:val="Compact"/>
        <w:numPr>
          <w:ilvl w:val="0"/>
          <w:numId w:val="1020"/>
        </w:numPr>
      </w:pPr>
      <w:r>
        <w:t xml:space="preserve">SQL is an option as API language but not a requirement</w:t>
      </w:r>
    </w:p>
    <w:p>
      <w:pPr>
        <w:pStyle w:val="Compact"/>
        <w:numPr>
          <w:ilvl w:val="0"/>
          <w:numId w:val="1020"/>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20"/>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1"/>
        </w:numPr>
      </w:pPr>
      <w:r>
        <w:t xml:space="preserve">Better (but perhaps not as widely used yet and therefore a bit less mature/stable)</w:t>
      </w:r>
    </w:p>
    <w:p>
      <w:pPr>
        <w:pStyle w:val="Compact"/>
        <w:numPr>
          <w:ilvl w:val="0"/>
          <w:numId w:val="1020"/>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100.</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rPr>
          <w:rStyle w:val="NormalTok"/>
        </w:rPr>
        <w:t xml:space="preserve"> </w:t>
      </w:r>
      <w:r>
        <w:rPr>
          <w:rStyle w:val="CommentTok"/>
        </w:rPr>
        <w:t xml:space="preserve"># therefore, select just 3 years</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2"/>
        </w:numPr>
      </w:pPr>
      <w:r>
        <w:t xml:space="preserve">Parquet</w:t>
      </w:r>
    </w:p>
    <w:p>
      <w:pPr>
        <w:pStyle w:val="Compact"/>
        <w:numPr>
          <w:ilvl w:val="0"/>
          <w:numId w:val="1022"/>
        </w:numPr>
      </w:pPr>
      <w:r>
        <w:t xml:space="preserve">CSV</w:t>
      </w:r>
    </w:p>
    <w:p>
      <w:pPr>
        <w:pStyle w:val="Compact"/>
        <w:numPr>
          <w:ilvl w:val="0"/>
          <w:numId w:val="1022"/>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3"/>
        </w:numPr>
      </w:pPr>
      <w:r>
        <w:t xml:space="preserve">Let’s say you used SAS to export your data to a csv file</w:t>
      </w:r>
    </w:p>
    <w:p>
      <w:pPr>
        <w:pStyle w:val="Compact"/>
        <w:numPr>
          <w:ilvl w:val="0"/>
          <w:numId w:val="1023"/>
        </w:numPr>
      </w:pPr>
      <w:r>
        <w:t xml:space="preserve">DuckDB can query the relevant data from that file directly and collect only the data you actually need!</w:t>
      </w:r>
    </w:p>
    <w:p>
      <w:pPr>
        <w:pStyle w:val="Compact"/>
        <w:numPr>
          <w:ilvl w:val="0"/>
          <w:numId w:val="1023"/>
        </w:numPr>
      </w:pPr>
      <w:r>
        <w:t xml:space="preserve">(If you knew you only needed i smaller data set you might have performed similar work already in SAS but you often query the data multiple times for different purposes so it still good to have a readable version of everything)</w:t>
      </w:r>
    </w:p>
    <w:p>
      <w:pPr>
        <w:pStyle w:val="SourceCode"/>
      </w:pPr>
      <w:r>
        <w:rPr>
          <w:rStyle w:val="CommentTok"/>
        </w:rPr>
        <w:t xml:space="preserve"># This is not writing from SAS but to illustrate the point :-)</w:t>
      </w:r>
      <w:r>
        <w:br/>
      </w: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4"/>
        </w:numPr>
      </w:pPr>
      <w:r>
        <w:t xml:space="preserve">From Apache Arrow</w:t>
      </w:r>
    </w:p>
    <w:p>
      <w:pPr>
        <w:pStyle w:val="Compact"/>
        <w:numPr>
          <w:ilvl w:val="0"/>
          <w:numId w:val="1024"/>
        </w:numPr>
      </w:pPr>
      <w:r>
        <w:t xml:space="preserve">Open format</w:t>
      </w:r>
    </w:p>
    <w:p>
      <w:pPr>
        <w:pStyle w:val="Compact"/>
        <w:numPr>
          <w:ilvl w:val="0"/>
          <w:numId w:val="1024"/>
        </w:numPr>
      </w:pPr>
      <w:r>
        <w:t xml:space="preserve">flat files with possible hierarchical structure by transparent structure of folders and filenames</w:t>
      </w:r>
    </w:p>
    <w:p>
      <w:pPr>
        <w:pStyle w:val="Compact"/>
        <w:numPr>
          <w:ilvl w:val="0"/>
          <w:numId w:val="1024"/>
        </w:numPr>
      </w:pPr>
      <w:r>
        <w:t xml:space="preserve">very fast to read and write</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5"/>
        </w:numPr>
      </w:pPr>
      <w:r>
        <w:t xml:space="preserve">So we might work with CSV + DuckDB but it is even more efficient if we could convert the CSV to a parquet file</w:t>
      </w:r>
    </w:p>
    <w:p>
      <w:pPr>
        <w:pStyle w:val="Compact"/>
        <w:numPr>
          <w:ilvl w:val="0"/>
          <w:numId w:val="1025"/>
        </w:numPr>
      </w:pPr>
      <w:r>
        <w:t xml:space="preserve">The solution below reads the CSV data and then exports it to a new parquet file</w:t>
      </w:r>
    </w:p>
    <w:p>
      <w:pPr>
        <w:pStyle w:val="Compact"/>
        <w:numPr>
          <w:ilvl w:val="0"/>
          <w:numId w:val="1025"/>
        </w:numPr>
      </w:pPr>
      <w:r>
        <w:t xml:space="preserve">This means that all data must still fit into memory</w:t>
      </w:r>
    </w:p>
    <w:p>
      <w:pPr>
        <w:pStyle w:val="Compact"/>
        <w:numPr>
          <w:ilvl w:val="1"/>
          <w:numId w:val="1026"/>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7"/>
        </w:numPr>
      </w:pPr>
      <w:r>
        <w:rPr>
          <w:rStyle w:val="VerbatimChar"/>
        </w:rPr>
        <w:t xml:space="preserve">duckplyr</w:t>
      </w:r>
      <w:r>
        <w:t xml:space="preserve"> </w:t>
      </w:r>
      <w:r>
        <w:t xml:space="preserve">let’s you use the familiar dplyr/tidyverse syntax</w:t>
      </w:r>
    </w:p>
    <w:p>
      <w:pPr>
        <w:pStyle w:val="Compact"/>
        <w:numPr>
          <w:ilvl w:val="0"/>
          <w:numId w:val="1027"/>
        </w:numPr>
      </w:pPr>
      <w:r>
        <w:t xml:space="preserve">If certain steps in your pipeline are not compatible with DuckDB, data might be collected into memory and the pipeline contonous nevertheless</w:t>
      </w:r>
    </w:p>
    <w:p>
      <w:pPr>
        <w:pStyle w:val="Compact"/>
        <w:numPr>
          <w:ilvl w:val="0"/>
          <w:numId w:val="1027"/>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sometimes be imported into R (</w:t>
      </w:r>
      <w:r>
        <w:rPr>
          <w:rStyle w:val="VerbatimChar"/>
        </w:rPr>
        <w:t xml:space="preserve">haven::read_sas()</w:t>
      </w:r>
      <w:r>
        <w:t xml:space="preserve">, which also allow selection of specific columns at import).</w:t>
      </w:r>
      <w:r>
        <w:br/>
      </w:r>
      <w:r>
        <w:t xml:space="preserve">The dataset is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69" w:name="archiving"/>
    <w:p>
      <w:pPr>
        <w:pStyle w:val="Heading2"/>
      </w:pPr>
      <w:r>
        <w:t xml:space="preserve">Archiving</w:t>
      </w:r>
    </w:p>
    <w:p>
      <w:pPr>
        <w:pStyle w:val="Compact"/>
        <w:numPr>
          <w:ilvl w:val="0"/>
          <w:numId w:val="1028"/>
        </w:numPr>
      </w:pPr>
      <w:r>
        <w:t xml:space="preserve">Swedish law say that we must archive the data (within the public sector).</w:t>
      </w:r>
    </w:p>
    <w:p>
      <w:pPr>
        <w:pStyle w:val="Compact"/>
        <w:numPr>
          <w:ilvl w:val="0"/>
          <w:numId w:val="1028"/>
        </w:numPr>
      </w:pPr>
      <w:r>
        <w:t xml:space="preserve">General practice is to store every</w:t>
      </w:r>
      <w:r>
        <w:t xml:space="preserve"> </w:t>
      </w:r>
      <w:r>
        <w:t xml:space="preserve">“official document”</w:t>
      </w:r>
      <w:r>
        <w:t xml:space="preserve"> </w:t>
      </w:r>
      <w:r>
        <w:t xml:space="preserve">forever … which is a long time :-)</w:t>
      </w:r>
    </w:p>
    <w:p>
      <w:pPr>
        <w:pStyle w:val="Compact"/>
        <w:numPr>
          <w:ilvl w:val="0"/>
          <w:numId w:val="1028"/>
        </w:numPr>
      </w:pPr>
      <w:r>
        <w:t xml:space="preserve">Usualy conceptualized as 500 years.</w:t>
      </w:r>
    </w:p>
    <w:p>
      <w:pPr>
        <w:pStyle w:val="Compact"/>
        <w:numPr>
          <w:ilvl w:val="0"/>
          <w:numId w:val="1028"/>
        </w:numPr>
      </w:pPr>
      <w:r>
        <w:t xml:space="preserve">Retention (dokumenthanteringsplan/gallringsplan) usually limit the time needed to store source material for statistcal reporting/research etc</w:t>
      </w:r>
    </w:p>
    <w:p>
      <w:pPr>
        <w:pStyle w:val="Compact"/>
        <w:numPr>
          <w:ilvl w:val="1"/>
          <w:numId w:val="1029"/>
        </w:numPr>
      </w:pPr>
      <w:r>
        <w:t xml:space="preserve">Varies between organisations but usually 10 years (25 for some research, which is also regulated by the EU)</w:t>
      </w:r>
    </w:p>
    <w:p>
      <w:pPr>
        <w:pStyle w:val="Compact"/>
        <w:numPr>
          <w:ilvl w:val="0"/>
          <w:numId w:val="1028"/>
        </w:numPr>
      </w:pPr>
      <w:r>
        <w:t xml:space="preserve">Can you read a 25 year old data file?</w:t>
      </w:r>
    </w:p>
    <w:p>
      <w:pPr>
        <w:pStyle w:val="Compact"/>
        <w:numPr>
          <w:ilvl w:val="1"/>
          <w:numId w:val="1030"/>
        </w:numPr>
      </w:pPr>
      <w:r>
        <w:t xml:space="preserve">Yes, if storeed as an inefficient CSV-file …</w:t>
      </w:r>
    </w:p>
    <w:p>
      <w:pPr>
        <w:pStyle w:val="Compact"/>
        <w:numPr>
          <w:ilvl w:val="1"/>
          <w:numId w:val="1030"/>
        </w:numPr>
      </w:pPr>
      <w:r>
        <w:t xml:space="preserve">Maybe not if using another less human-readable format …</w:t>
      </w:r>
    </w:p>
    <w:p>
      <w:pPr>
        <w:pStyle w:val="Compact"/>
        <w:numPr>
          <w:ilvl w:val="0"/>
          <w:numId w:val="1028"/>
        </w:numPr>
      </w:pPr>
      <w:r>
        <w:t xml:space="preserve">The work of a professional archivist might contain responsibilities for data conversion from time to time (CD-ROMS or floppy disks etc might otherwise not be accasible)</w:t>
      </w:r>
    </w:p>
    <w:p>
      <w:pPr>
        <w:pStyle w:val="Compact"/>
        <w:numPr>
          <w:ilvl w:val="0"/>
          <w:numId w:val="1028"/>
        </w:numPr>
      </w:pPr>
      <w:r>
        <w:t xml:space="preserve">It seems, however, less common that organizational standardd etc imply that statisticians are limited to certain formats (it is more often up to you and your collegues)</w:t>
      </w:r>
    </w:p>
    <w:bookmarkEnd w:id="69"/>
    <w:bookmarkStart w:id="71" w:name="faster-in-memory"/>
    <w:p>
      <w:pPr>
        <w:pStyle w:val="Heading2"/>
      </w:pPr>
      <w:r>
        <w:t xml:space="preserve">Faster in memory?</w:t>
      </w:r>
    </w:p>
    <w:p>
      <w:pPr>
        <w:pStyle w:val="Compact"/>
        <w:numPr>
          <w:ilvl w:val="0"/>
          <w:numId w:val="1031"/>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31"/>
        </w:numPr>
      </w:pPr>
      <w:r>
        <w:t xml:space="preserve">But what if data would fit (which is more common)?</w:t>
      </w:r>
    </w:p>
    <w:p>
      <w:pPr>
        <w:pStyle w:val="Compact"/>
        <w:numPr>
          <w:ilvl w:val="1"/>
          <w:numId w:val="1032"/>
        </w:numPr>
      </w:pPr>
      <w:r>
        <w:t xml:space="preserve">You can use tibbles and dplyr etc as usual …</w:t>
      </w:r>
    </w:p>
    <w:p>
      <w:pPr>
        <w:pStyle w:val="Compact"/>
        <w:numPr>
          <w:ilvl w:val="2"/>
          <w:numId w:val="1033"/>
        </w:numPr>
      </w:pPr>
      <w:r>
        <w:t xml:space="preserve">… but it might be slooooooooooooow … for big enough data</w:t>
      </w:r>
    </w:p>
    <w:p>
      <w:pPr>
        <w:pStyle w:val="Compact"/>
        <w:numPr>
          <w:ilvl w:val="2"/>
          <w:numId w:val="1033"/>
        </w:numPr>
      </w:pPr>
      <w:r>
        <w:t xml:space="preserve">(Although dplyr also gets some</w:t>
      </w:r>
      <w:r>
        <w:t xml:space="preserve"> </w:t>
      </w:r>
      <w:hyperlink r:id="rId70">
        <w:r>
          <w:rPr>
            <w:rStyle w:val="Hyperlink"/>
          </w:rPr>
          <w:t xml:space="preserve">speed improvements</w:t>
        </w:r>
      </w:hyperlink>
      <w:r>
        <w:t xml:space="preserve"> </w:t>
      </w:r>
      <w:r>
        <w:t xml:space="preserve">from time to time)</w:t>
      </w:r>
    </w:p>
    <w:p>
      <w:pPr>
        <w:pStyle w:val="Compact"/>
        <w:numPr>
          <w:ilvl w:val="0"/>
          <w:numId w:val="1031"/>
        </w:numPr>
      </w:pPr>
      <w:r>
        <w:rPr>
          <w:rStyle w:val="VerbatimChar"/>
        </w:rPr>
        <w:t xml:space="preserve">{data.table}</w:t>
      </w:r>
      <w:r>
        <w:t xml:space="preserve"> </w:t>
      </w:r>
      <w:r>
        <w:t xml:space="preserve">is much more efficient!</w:t>
      </w:r>
    </w:p>
    <w:bookmarkEnd w:id="71"/>
    <w:bookmarkStart w:id="72" w:name="data.table"/>
    <w:p>
      <w:pPr>
        <w:pStyle w:val="Heading2"/>
      </w:pPr>
      <w:r>
        <w:t xml:space="preserve">data.table</w:t>
      </w:r>
    </w:p>
    <w:p>
      <w:pPr>
        <w:pStyle w:val="Compact"/>
        <w:numPr>
          <w:ilvl w:val="0"/>
          <w:numId w:val="1034"/>
        </w:numPr>
      </w:pPr>
      <w:r>
        <w:t xml:space="preserve">An R package (not a data storage format or a database system)</w:t>
      </w:r>
    </w:p>
    <w:p>
      <w:pPr>
        <w:pStyle w:val="Compact"/>
        <w:numPr>
          <w:ilvl w:val="0"/>
          <w:numId w:val="1034"/>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4"/>
        </w:numPr>
      </w:pPr>
      <w:r>
        <w:t xml:space="preserve">Sometimes described as a Domain Specific Language (DSL) within R</w:t>
      </w:r>
    </w:p>
    <w:p>
      <w:pPr>
        <w:pStyle w:val="Compact"/>
        <w:numPr>
          <w:ilvl w:val="0"/>
          <w:numId w:val="1034"/>
        </w:numPr>
      </w:pPr>
      <w:r>
        <w:t xml:space="preserve">Introduced in 2006 (mature, stable, and widely used — older than the tidyverse)</w:t>
      </w:r>
    </w:p>
    <w:p>
      <w:pPr>
        <w:pStyle w:val="Compact"/>
        <w:numPr>
          <w:ilvl w:val="0"/>
          <w:numId w:val="1034"/>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4"/>
        </w:numPr>
      </w:pPr>
      <w:r>
        <w:t xml:space="preserve">Core components implemented in C for performance</w:t>
      </w:r>
    </w:p>
    <w:p>
      <w:pPr>
        <w:pStyle w:val="Compact"/>
        <w:numPr>
          <w:ilvl w:val="0"/>
          <w:numId w:val="1034"/>
        </w:numPr>
      </w:pPr>
      <w:r>
        <w:t xml:space="preserve">Uses concepts similar to databases:</w:t>
      </w:r>
    </w:p>
    <w:p>
      <w:pPr>
        <w:pStyle w:val="Compact"/>
        <w:numPr>
          <w:ilvl w:val="1"/>
          <w:numId w:val="1035"/>
        </w:numPr>
      </w:pPr>
      <w:r>
        <w:t xml:space="preserve">Integer-based keys and indices</w:t>
      </w:r>
      <w:r>
        <w:br/>
      </w:r>
    </w:p>
    <w:p>
      <w:pPr>
        <w:pStyle w:val="Compact"/>
        <w:numPr>
          <w:ilvl w:val="1"/>
          <w:numId w:val="1035"/>
        </w:numPr>
      </w:pPr>
      <w:r>
        <w:t xml:space="preserve">Efficient joins and grouping</w:t>
      </w:r>
    </w:p>
    <w:p>
      <w:pPr>
        <w:pStyle w:val="Compact"/>
        <w:numPr>
          <w:ilvl w:val="0"/>
          <w:numId w:val="1034"/>
        </w:numPr>
      </w:pPr>
      <w:r>
        <w:t xml:space="preserve">Reference semantics</w:t>
      </w:r>
      <w:r>
        <w:br/>
      </w:r>
    </w:p>
    <w:p>
      <w:pPr>
        <w:pStyle w:val="Compact"/>
        <w:numPr>
          <w:ilvl w:val="0"/>
          <w:numId w:val="1034"/>
        </w:numPr>
      </w:pPr>
      <w:r>
        <w:t xml:space="preserve">Very flexible and compact syntax</w:t>
      </w:r>
      <w:r>
        <w:br/>
      </w:r>
    </w:p>
    <w:p>
      <w:pPr>
        <w:pStyle w:val="Compact"/>
        <w:numPr>
          <w:ilvl w:val="0"/>
          <w:numId w:val="1034"/>
        </w:numPr>
      </w:pPr>
      <w:r>
        <w:t xml:space="preserve">Strongly appreciated by many statisticians —</w:t>
      </w:r>
      <w:r>
        <w:br/>
      </w:r>
      <w:r>
        <w:t xml:space="preserve">unknown to some — and slightly intimidating to others 🙂</w:t>
      </w:r>
    </w:p>
    <w:bookmarkEnd w:id="72"/>
    <w:bookmarkStart w:id="73" w:name="copy-on-modify"/>
    <w:p>
      <w:pPr>
        <w:pStyle w:val="Heading2"/>
      </w:pPr>
      <w:r>
        <w:t xml:space="preserve">Copy-on-modify</w:t>
      </w:r>
    </w:p>
    <w:p>
      <w:pPr>
        <w:pStyle w:val="Compact"/>
        <w:numPr>
          <w:ilvl w:val="0"/>
          <w:numId w:val="1036"/>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6"/>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6"/>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6"/>
        </w:numPr>
      </w:pPr>
      <w:r>
        <w:t xml:space="preserve">In R, objects use</w:t>
      </w:r>
      <w:r>
        <w:t xml:space="preserve"> </w:t>
      </w:r>
      <w:r>
        <w:rPr>
          <w:i/>
          <w:iCs/>
        </w:rPr>
        <w:t xml:space="preserve">copy-on-modify</w:t>
      </w:r>
      <w:r>
        <w:t xml:space="preserve"> </w:t>
      </w:r>
      <w:r>
        <w:t xml:space="preserve">semantics:</w:t>
      </w:r>
    </w:p>
    <w:p>
      <w:pPr>
        <w:pStyle w:val="Compact"/>
        <w:numPr>
          <w:ilvl w:val="1"/>
          <w:numId w:val="1037"/>
        </w:numPr>
      </w:pPr>
      <w:r>
        <w:t xml:space="preserve">When an object is changed, a new copy is created (if needed).</w:t>
      </w:r>
    </w:p>
    <w:p>
      <w:pPr>
        <w:pStyle w:val="Compact"/>
        <w:numPr>
          <w:ilvl w:val="1"/>
          <w:numId w:val="1037"/>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7"/>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6"/>
        </w:numPr>
      </w:pPr>
      <w:r>
        <w:t xml:space="preserve">The previous object may remain in memory temporarily until garbage collection runs.</w:t>
      </w:r>
    </w:p>
    <w:p>
      <w:pPr>
        <w:pStyle w:val="Compact"/>
        <w:numPr>
          <w:ilvl w:val="0"/>
          <w:numId w:val="1036"/>
        </w:numPr>
      </w:pPr>
      <w:r>
        <w:t xml:space="preserve">For very large objects, this can result in substantial temporary memory use</w:t>
      </w:r>
    </w:p>
    <w:bookmarkEnd w:id="73"/>
    <w:bookmarkStart w:id="74" w:name="reference-semantics"/>
    <w:p>
      <w:pPr>
        <w:pStyle w:val="Heading2"/>
      </w:pPr>
      <w:r>
        <w:t xml:space="preserve">Reference semantics</w:t>
      </w:r>
    </w:p>
    <w:p>
      <w:pPr>
        <w:pStyle w:val="Compact"/>
        <w:numPr>
          <w:ilvl w:val="0"/>
          <w:numId w:val="1038"/>
        </w:numPr>
      </w:pPr>
      <w:r>
        <w:t xml:space="preserve">In</w:t>
      </w:r>
      <w:r>
        <w:t xml:space="preserve"> </w:t>
      </w:r>
      <w:r>
        <w:rPr>
          <w:rStyle w:val="VerbatimChar"/>
        </w:rPr>
        <w:t xml:space="preserve">data.table</w:t>
      </w:r>
      <w:r>
        <w:t xml:space="preserve">, reference semantics are used instead.</w:t>
      </w:r>
    </w:p>
    <w:p>
      <w:pPr>
        <w:pStyle w:val="Compact"/>
        <w:numPr>
          <w:ilvl w:val="0"/>
          <w:numId w:val="1038"/>
        </w:numPr>
      </w:pPr>
      <w:r>
        <w:t xml:space="preserve">You can modify the existing object directly:</w:t>
      </w:r>
      <w:r>
        <w:t xml:space="preserve"> </w:t>
      </w:r>
      <w:r>
        <w:rPr>
          <w:rStyle w:val="VerbatimChar"/>
        </w:rPr>
        <w:t xml:space="preserve">df[, new := f(old)]</w:t>
      </w:r>
    </w:p>
    <w:p>
      <w:pPr>
        <w:pStyle w:val="Compact"/>
        <w:numPr>
          <w:ilvl w:val="0"/>
          <w:numId w:val="1038"/>
        </w:numPr>
      </w:pPr>
      <w:r>
        <w:t xml:space="preserve">Or delete columns in place:</w:t>
      </w:r>
      <w:r>
        <w:t xml:space="preserve"> </w:t>
      </w:r>
      <w:r>
        <w:rPr>
          <w:rStyle w:val="VerbatimChar"/>
        </w:rPr>
        <w:t xml:space="preserve">df[, old := NULL]</w:t>
      </w:r>
    </w:p>
    <w:p>
      <w:pPr>
        <w:pStyle w:val="Compact"/>
        <w:numPr>
          <w:ilvl w:val="0"/>
          <w:numId w:val="1038"/>
        </w:numPr>
      </w:pPr>
      <w:r>
        <w:t xml:space="preserve">No full copy is made</w:t>
      </w:r>
    </w:p>
    <w:p>
      <w:pPr>
        <w:pStyle w:val="Compact"/>
        <w:numPr>
          <w:ilvl w:val="0"/>
          <w:numId w:val="1038"/>
        </w:numPr>
      </w:pPr>
      <w:r>
        <w:t xml:space="preserve">There is still only one object in memory (and it is still called</w:t>
      </w:r>
      <w:r>
        <w:t xml:space="preserve"> </w:t>
      </w:r>
      <w:r>
        <w:rPr>
          <w:rStyle w:val="VerbatimChar"/>
        </w:rPr>
        <w:t xml:space="preserve">df</w:t>
      </w:r>
      <w:r>
        <w:t xml:space="preserve">).</w:t>
      </w:r>
    </w:p>
    <w:bookmarkEnd w:id="74"/>
    <w:bookmarkStart w:id="75"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5"/>
    <w:bookmarkStart w:id="76"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6"/>
    <w:bookmarkStart w:id="77" w:name="external-api"/>
    <w:p>
      <w:pPr>
        <w:pStyle w:val="Heading2"/>
      </w:pPr>
      <w:r>
        <w:t xml:space="preserve">External API</w:t>
      </w:r>
    </w:p>
    <w:p>
      <w:pPr>
        <w:pStyle w:val="Compact"/>
        <w:numPr>
          <w:ilvl w:val="0"/>
          <w:numId w:val="1039"/>
        </w:numPr>
      </w:pPr>
      <w:r>
        <w:t xml:space="preserve">We previously assumed you get some data delivery from a register holder</w:t>
      </w:r>
    </w:p>
    <w:p>
      <w:pPr>
        <w:pStyle w:val="Compact"/>
        <w:numPr>
          <w:ilvl w:val="0"/>
          <w:numId w:val="1039"/>
        </w:numPr>
      </w:pPr>
      <w:r>
        <w:t xml:space="preserve">Or mayby you work within the organization where data is collected, and therefore have access to the original data base.</w:t>
      </w:r>
    </w:p>
    <w:p>
      <w:pPr>
        <w:pStyle w:val="Compact"/>
        <w:numPr>
          <w:ilvl w:val="0"/>
          <w:numId w:val="1039"/>
        </w:numPr>
      </w:pPr>
      <w:r>
        <w:t xml:space="preserve">Some data can also be openly accessed by an Programming Application Interface (API)</w:t>
      </w:r>
    </w:p>
    <w:p>
      <w:pPr>
        <w:pStyle w:val="Compact"/>
        <w:numPr>
          <w:ilvl w:val="0"/>
          <w:numId w:val="1039"/>
        </w:numPr>
      </w:pPr>
      <w:r>
        <w:t xml:space="preserve">The PX-WEB API is used by a large number of statistical authorities (and others) world-widea to provide access to aggregated data</w:t>
      </w:r>
    </w:p>
    <w:p>
      <w:pPr>
        <w:pStyle w:val="Compact"/>
        <w:numPr>
          <w:ilvl w:val="0"/>
          <w:numId w:val="1039"/>
        </w:numPr>
      </w:pPr>
      <w:r>
        <w:t xml:space="preserve">The</w:t>
      </w:r>
      <w:r>
        <w:t xml:space="preserve"> </w:t>
      </w:r>
      <w:r>
        <w:rPr>
          <w:rStyle w:val="VerbatimChar"/>
        </w:rPr>
        <w:t xml:space="preserve">{pxweb}</w:t>
      </w:r>
      <w:r>
        <w:t xml:space="preserve"> </w:t>
      </w:r>
      <w:r>
        <w:t xml:space="preserve">R package simplifies the process</w:t>
      </w:r>
    </w:p>
    <w:bookmarkEnd w:id="77"/>
    <w:bookmarkStart w:id="78"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8"/>
    <w:bookmarkStart w:id="82" w:name="example-4"/>
    <w:p>
      <w:pPr>
        <w:pStyle w:val="Heading2"/>
      </w:pPr>
      <w:r>
        <w:t xml:space="preserve">Example</w:t>
      </w:r>
    </w:p>
    <w:p>
      <w:pPr>
        <w:pStyle w:val="Compact"/>
        <w:numPr>
          <w:ilvl w:val="0"/>
          <w:numId w:val="1040"/>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40"/>
        </w:numPr>
      </w:pPr>
      <w:r>
        <w:t xml:space="preserve">It will guide you through all the necessary steps.</w:t>
      </w:r>
    </w:p>
    <w:p>
      <w:pPr>
        <w:pStyle w:val="Compact"/>
        <w:numPr>
          <w:ilvl w:val="0"/>
          <w:numId w:val="1040"/>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80" name="Picture"/>
            <a:graphic>
              <a:graphicData uri="http://schemas.openxmlformats.org/drawingml/2006/picture">
                <pic:pic>
                  <pic:nvPicPr>
                    <pic:cNvPr descr="EL6_files/figure-docx/unnamed-chunk-8-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bookmarkEnd w:id="82"/>
    <w:bookmarkStart w:id="83" w:name="hierachical-data"/>
    <w:p>
      <w:pPr>
        <w:pStyle w:val="Heading2"/>
      </w:pPr>
      <w:r>
        <w:t xml:space="preserve">Hierachical data</w:t>
      </w:r>
    </w:p>
    <w:p>
      <w:pPr>
        <w:pStyle w:val="Compact"/>
        <w:numPr>
          <w:ilvl w:val="0"/>
          <w:numId w:val="1041"/>
        </w:numPr>
      </w:pPr>
      <w:r>
        <w:t xml:space="preserve">We like tabular data!</w:t>
      </w:r>
    </w:p>
    <w:p>
      <w:pPr>
        <w:pStyle w:val="Compact"/>
        <w:numPr>
          <w:ilvl w:val="0"/>
          <w:numId w:val="1041"/>
        </w:numPr>
      </w:pPr>
      <w:r>
        <w:t xml:space="preserve">If we get wide data we can transform it to long data (and vice versa)</w:t>
      </w:r>
    </w:p>
    <w:p>
      <w:pPr>
        <w:pStyle w:val="Compact"/>
        <w:numPr>
          <w:ilvl w:val="0"/>
          <w:numId w:val="1041"/>
        </w:numPr>
      </w:pPr>
      <w:r>
        <w:t xml:space="preserve">But we might sometimes encounter more hierarchical data structures</w:t>
      </w:r>
    </w:p>
    <w:p>
      <w:pPr>
        <w:pStyle w:val="Compact"/>
        <w:numPr>
          <w:ilvl w:val="0"/>
          <w:numId w:val="1041"/>
        </w:numPr>
      </w:pPr>
      <w:r>
        <w:t xml:space="preserve">JSON (JavaScript Object Notation) most popular</w:t>
      </w:r>
    </w:p>
    <w:p>
      <w:pPr>
        <w:pStyle w:val="Compact"/>
        <w:numPr>
          <w:ilvl w:val="0"/>
          <w:numId w:val="1041"/>
        </w:numPr>
      </w:pPr>
      <w:r>
        <w:t xml:space="preserve">XML is another format (used for example by the IRS/Skatteverket sometimes)</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3"/>
    <w:bookmarkStart w:id="84" w:name="example-5"/>
    <w:p>
      <w:pPr>
        <w:pStyle w:val="Heading2"/>
      </w:pPr>
      <w:r>
        <w:t xml:space="preserve">Example</w:t>
      </w:r>
    </w:p>
    <w:p>
      <w:pPr>
        <w:pStyle w:val="SourceCode"/>
      </w:pPr>
      <w:r>
        <w:rPr>
          <w:rStyle w:val="CommentTok"/>
        </w:rPr>
        <w:t xml:space="preserve"># db_exec("INSTALL json")</w:t>
      </w:r>
      <w:r>
        <w:br/>
      </w:r>
      <w:r>
        <w:rPr>
          <w:rStyle w:val="FunctionTok"/>
        </w:rPr>
        <w:t xml:space="preserve">db_exec</w:t>
      </w:r>
      <w:r>
        <w:rPr>
          <w:rStyle w:val="NormalTok"/>
        </w:rPr>
        <w:t xml:space="preserve">(</w:t>
      </w:r>
      <w:r>
        <w:rPr>
          <w:rStyle w:val="StringTok"/>
        </w:rPr>
        <w:t xml:space="preserve">"LOAD json"</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duckplyr</w:t>
      </w:r>
      <w:r>
        <w:rPr>
          <w:rStyle w:val="SpecialCharTok"/>
        </w:rPr>
        <w:t xml:space="preserve">::</w:t>
      </w:r>
      <w:r>
        <w:rPr>
          <w:rStyle w:val="FunctionTok"/>
        </w:rPr>
        <w:t xml:space="preserve">read_json_duckdb</w:t>
      </w:r>
      <w:r>
        <w:rPr>
          <w:rStyle w:val="NormalTok"/>
        </w:rPr>
        <w:t xml:space="preserve">(url))</w:t>
      </w:r>
    </w:p>
    <w:p>
      <w:pPr>
        <w:pStyle w:val="SourceCode"/>
      </w:pPr>
      <w:r>
        <w:rPr>
          <w:rStyle w:val="VerbatimChar"/>
        </w:rPr>
        <w:t xml:space="preserve"># A duckplyr data frame: 3 variables</w:t>
      </w:r>
      <w:r>
        <w:br/>
      </w:r>
      <w:r>
        <w:rPr>
          <w:rStyle w:val="VerbatimChar"/>
        </w:rPr>
        <w:t xml:space="preserve">   code    desc                                                         children</w:t>
      </w:r>
      <w:r>
        <w:br/>
      </w:r>
      <w:r>
        <w:rPr>
          <w:rStyle w:val="VerbatimChar"/>
        </w:rPr>
        <w:t xml:space="preserve">   &lt;chr&gt;   &lt;chr&gt;                                                        &lt;list&gt;  </w:t>
      </w:r>
      <w:r>
        <w:br/>
      </w:r>
      <w:r>
        <w:rPr>
          <w:rStyle w:val="VerbatimChar"/>
        </w:rPr>
        <w:t xml:space="preserve"> 1 A00-B99 Certain infectious and parasitic diseases                    &lt;df&gt;    </w:t>
      </w:r>
      <w:r>
        <w:br/>
      </w:r>
      <w:r>
        <w:rPr>
          <w:rStyle w:val="VerbatimChar"/>
        </w:rPr>
        <w:t xml:space="preserve"> 2 C00-D49 Neoplasms                                                    &lt;df&gt;    </w:t>
      </w:r>
      <w:r>
        <w:br/>
      </w:r>
      <w:r>
        <w:rPr>
          <w:rStyle w:val="VerbatimChar"/>
        </w:rPr>
        <w:t xml:space="preserve"> 3 D50-D89 Diseases of the blood and blood-forming organs and certain … &lt;df&gt;    </w:t>
      </w:r>
      <w:r>
        <w:br/>
      </w:r>
      <w:r>
        <w:rPr>
          <w:rStyle w:val="VerbatimChar"/>
        </w:rPr>
        <w:t xml:space="preserve"> 4 E00-E89 Endocrine, nutritional and metabolic diseases                &lt;df&gt;    </w:t>
      </w:r>
      <w:r>
        <w:br/>
      </w:r>
      <w:r>
        <w:rPr>
          <w:rStyle w:val="VerbatimChar"/>
        </w:rPr>
        <w:t xml:space="preserve"> 5 F01-F99 Mental, Behavioral and Neurodevelopmental disorders          &lt;df&gt;    </w:t>
      </w:r>
      <w:r>
        <w:br/>
      </w:r>
      <w:r>
        <w:rPr>
          <w:rStyle w:val="VerbatimChar"/>
        </w:rPr>
        <w:t xml:space="preserve"> 6 G00-G99 Diseases of the nervous system                               &lt;df&gt;    </w:t>
      </w:r>
      <w:r>
        <w:br/>
      </w:r>
      <w:r>
        <w:rPr>
          <w:rStyle w:val="VerbatimChar"/>
        </w:rPr>
        <w:t xml:space="preserve"> 7 H00-H59 Diseases of the eye and adnexa                               &lt;df&gt;    </w:t>
      </w:r>
      <w:r>
        <w:br/>
      </w:r>
      <w:r>
        <w:rPr>
          <w:rStyle w:val="VerbatimChar"/>
        </w:rPr>
        <w:t xml:space="preserve"> 8 H60-H95 Diseases of the ear and mastoid process                      &lt;df&gt;    </w:t>
      </w:r>
      <w:r>
        <w:br/>
      </w:r>
      <w:r>
        <w:rPr>
          <w:rStyle w:val="VerbatimChar"/>
        </w:rPr>
        <w:t xml:space="preserve"> 9 I00-I99 Diseases of the circulatory system                           &lt;df&gt;    </w:t>
      </w:r>
      <w:r>
        <w:br/>
      </w:r>
      <w:r>
        <w:rPr>
          <w:rStyle w:val="VerbatimChar"/>
        </w:rPr>
        <w:t xml:space="preserve">10 J00-J99 Diseases of the respiratory system                           &lt;df&gt;    </w:t>
      </w:r>
      <w:r>
        <w:br/>
      </w:r>
      <w:r>
        <w:rPr>
          <w:rStyle w:val="VerbatimChar"/>
        </w:rPr>
        <w:t xml:space="preserve"># ℹ more rows</w:t>
      </w:r>
    </w:p>
    <w:p>
      <w:r>
        <w:pict>
          <v:rect style="width:0;height:1.5pt" o:hralign="center" o:hrstd="t" o:hr="t"/>
        </w:pict>
      </w:r>
    </w:p>
    <w:bookmarkEnd w:id="84"/>
    <w:bookmarkStart w:id="95" w:name="flattening"/>
    <w:p>
      <w:pPr>
        <w:pStyle w:val="Heading2"/>
      </w:pPr>
      <w:r>
        <w:t xml:space="preserve">Flattening</w:t>
      </w:r>
    </w:p>
    <w:p>
      <w:pPr>
        <w:pStyle w:val="FirstParagraph"/>
      </w:pPr>
      <w:r>
        <w:t xml:space="preserve">So you now have a duckplyr data frame. One of its columns is nested and, with additional data frames as children)</w:t>
      </w:r>
      <w:r>
        <w:t xml:space="preserve"> </w:t>
      </w:r>
      <w:r>
        <w:t xml:space="preserve">If we unnest the children for chapter 1, we see that those children also have children … and so it continous.</w:t>
      </w:r>
      <w:r>
        <w:t xml:space="preserve"> </w:t>
      </w:r>
      <w:r>
        <w:t xml:space="preserve">To get a simple translation between individual codes and their description, you might need to define some recursive function to unnest until you have found the last children in line.</w:t>
      </w:r>
    </w:p>
    <w:p>
      <w:pPr>
        <w:pStyle w:val="SourceCode"/>
      </w:pPr>
      <w:r>
        <w:rPr>
          <w:rStyle w:val="NormalTok"/>
        </w:rPr>
        <w:t xml:space="preserve">(chap1 </w:t>
      </w:r>
      <w:r>
        <w:rPr>
          <w:rStyle w:val="OtherTok"/>
        </w:rPr>
        <w:t xml:space="preserve">&lt;-</w:t>
      </w:r>
      <w:r>
        <w:rPr>
          <w:rStyle w:val="NormalTok"/>
        </w:rPr>
        <w:t xml:space="preserve"> icd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p>
    <w:p>
      <w:pPr>
        <w:pStyle w:val="SourceCode"/>
      </w:pPr>
      <w:r>
        <w:rPr>
          <w:rStyle w:val="VerbatimChar"/>
        </w:rPr>
        <w:t xml:space="preserve"># A tibble: 1 × 3</w:t>
      </w:r>
      <w:r>
        <w:br/>
      </w:r>
      <w:r>
        <w:rPr>
          <w:rStyle w:val="VerbatimChar"/>
        </w:rPr>
        <w:t xml:space="preserve">  code    desc                                      children     </w:t>
      </w:r>
      <w:r>
        <w:br/>
      </w:r>
      <w:r>
        <w:rPr>
          <w:rStyle w:val="VerbatimChar"/>
        </w:rPr>
        <w:t xml:space="preserve">  &lt;chr&gt;   &lt;chr&gt;                                     &lt;list&gt;       </w:t>
      </w:r>
      <w:r>
        <w:br/>
      </w:r>
      <w:r>
        <w:rPr>
          <w:rStyle w:val="VerbatimChar"/>
        </w:rPr>
        <w:t xml:space="preserve">1 A00-B99 Certain infectious and parasitic diseases &lt;df [22 × 3]&gt;</w:t>
      </w:r>
    </w:p>
    <w:p>
      <w:pPr>
        <w:pStyle w:val="SourceCode"/>
      </w:pPr>
      <w:r>
        <w:rPr>
          <w:rStyle w:val="NormalTok"/>
        </w:rPr>
        <w:t xml:space="preserve">chap1 </w:t>
      </w:r>
      <w:r>
        <w:rPr>
          <w:rStyle w:val="SpecialCharTok"/>
        </w:rPr>
        <w:t xml:space="preserve">|&gt;</w:t>
      </w:r>
      <w:r>
        <w:br/>
      </w:r>
      <w:r>
        <w:rPr>
          <w:rStyle w:val="NormalTok"/>
        </w:rPr>
        <w:t xml:space="preserve">  </w:t>
      </w:r>
      <w:r>
        <w:rPr>
          <w:rStyle w:val="FunctionTok"/>
        </w:rPr>
        <w:t xml:space="preserve">select</w:t>
      </w:r>
      <w:r>
        <w:rPr>
          <w:rStyle w:val="NormalTok"/>
        </w:rPr>
        <w:t xml:space="preserve">(children)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(children)</w:t>
      </w:r>
    </w:p>
    <w:p>
      <w:pPr>
        <w:pStyle w:val="SourceCode"/>
      </w:pPr>
      <w:r>
        <w:rPr>
          <w:rStyle w:val="VerbatimChar"/>
        </w:rPr>
        <w:t xml:space="preserve"># A tibble: 22 × 3</w:t>
      </w:r>
      <w:r>
        <w:br/>
      </w:r>
      <w:r>
        <w:rPr>
          <w:rStyle w:val="VerbatimChar"/>
        </w:rPr>
        <w:t xml:space="preserve">   code    desc                                                        children</w:t>
      </w:r>
      <w:r>
        <w:br/>
      </w:r>
      <w:r>
        <w:rPr>
          <w:rStyle w:val="VerbatimChar"/>
        </w:rPr>
        <w:t xml:space="preserve">   &lt;chr&gt;   &lt;chr&gt;                                                       &lt;list&gt;  </w:t>
      </w:r>
      <w:r>
        <w:br/>
      </w:r>
      <w:r>
        <w:rPr>
          <w:rStyle w:val="VerbatimChar"/>
        </w:rPr>
        <w:t xml:space="preserve"> 1 A00-A09 Intestinal infectious diseases                              &lt;df&gt;    </w:t>
      </w:r>
      <w:r>
        <w:br/>
      </w:r>
      <w:r>
        <w:rPr>
          <w:rStyle w:val="VerbatimChar"/>
        </w:rPr>
        <w:t xml:space="preserve"> 2 A15-A19 Tuberculosis                                                &lt;df&gt;    </w:t>
      </w:r>
      <w:r>
        <w:br/>
      </w:r>
      <w:r>
        <w:rPr>
          <w:rStyle w:val="VerbatimChar"/>
        </w:rPr>
        <w:t xml:space="preserve"> 3 A20-A28 Certain zoonotic bacterial diseases                         &lt;df&gt;    </w:t>
      </w:r>
      <w:r>
        <w:br/>
      </w:r>
      <w:r>
        <w:rPr>
          <w:rStyle w:val="VerbatimChar"/>
        </w:rPr>
        <w:t xml:space="preserve"> 4 A30-A49 Other bacterial diseases                                    &lt;df&gt;    </w:t>
      </w:r>
      <w:r>
        <w:br/>
      </w:r>
      <w:r>
        <w:rPr>
          <w:rStyle w:val="VerbatimChar"/>
        </w:rPr>
        <w:t xml:space="preserve"> 5 A50-A64 Infections with a predominantly sexual mode of transmission &lt;df&gt;    </w:t>
      </w:r>
      <w:r>
        <w:br/>
      </w:r>
      <w:r>
        <w:rPr>
          <w:rStyle w:val="VerbatimChar"/>
        </w:rPr>
        <w:t xml:space="preserve"> 6 A65-A69 Other spirochetal diseases                                  &lt;df&gt;    </w:t>
      </w:r>
      <w:r>
        <w:br/>
      </w:r>
      <w:r>
        <w:rPr>
          <w:rStyle w:val="VerbatimChar"/>
        </w:rPr>
        <w:t xml:space="preserve"> 7 A70-A74 Other diseases caused by chlamydiae                         &lt;df&gt;    </w:t>
      </w:r>
      <w:r>
        <w:br/>
      </w:r>
      <w:r>
        <w:rPr>
          <w:rStyle w:val="VerbatimChar"/>
        </w:rPr>
        <w:t xml:space="preserve"> 8 A75-A79 Rickettsioses                                               &lt;df&gt;    </w:t>
      </w:r>
      <w:r>
        <w:br/>
      </w:r>
      <w:r>
        <w:rPr>
          <w:rStyle w:val="VerbatimChar"/>
        </w:rPr>
        <w:t xml:space="preserve"> 9 A80-A89 Viral and prion infections of the central nervous system    &lt;df&gt;    </w:t>
      </w:r>
      <w:r>
        <w:br/>
      </w:r>
      <w:r>
        <w:rPr>
          <w:rStyle w:val="VerbatimChar"/>
        </w:rPr>
        <w:t xml:space="preserve">10 A90-A99 Arthropod-borne viral fevers and viral hemorrhagic fevers   &lt;df&gt;    </w:t>
      </w:r>
      <w:r>
        <w:br/>
      </w:r>
      <w:r>
        <w:rPr>
          <w:rStyle w:val="VerbatimChar"/>
        </w:rPr>
        <w:t xml:space="preserve"># ℹ 12 more rows</w:t>
      </w:r>
    </w:p>
    <w:p>
      <w:r>
        <w:pict>
          <v:rect style="width:0;height:1.5pt" o:hralign="center" o:hrstd="t" o:hr="t"/>
        </w:pict>
      </w:r>
    </w:p>
    <w:bookmarkStart w:id="94" w:name="refs"/>
    <w:bookmarkStart w:id="86"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5">
        <w:r>
          <w:rPr>
            <w:rStyle w:val="Hyperlink"/>
          </w:rPr>
          <w:t xml:space="preserve">https://arelbundock.com/posts/dt_tb_df/index.html</w:t>
        </w:r>
      </w:hyperlink>
      <w:r>
        <w:t xml:space="preserve">.</w:t>
      </w:r>
    </w:p>
    <w:bookmarkEnd w:id="86"/>
    <w:bookmarkStart w:id="88" w:name="ref-dataana"/>
    <w:p>
      <w:pPr>
        <w:pStyle w:val="Bibliography"/>
      </w:pPr>
      <w:r>
        <w:rPr>
          <w:i/>
          <w:iCs/>
        </w:rPr>
        <w:t xml:space="preserve">Data Analysis Using Data.table</w:t>
      </w:r>
      <w:r>
        <w:t xml:space="preserve">. n.d. 2026.</w:t>
      </w:r>
      <w:r>
        <w:t xml:space="preserve"> </w:t>
      </w:r>
      <w:hyperlink r:id="rId87">
        <w:r>
          <w:rPr>
            <w:rStyle w:val="Hyperlink"/>
          </w:rPr>
          <w:t xml:space="preserve">https://cran.r-project.org/web/packages/data.table/vignettes/datatable-intro.html</w:t>
        </w:r>
      </w:hyperlink>
      <w:r>
        <w:t xml:space="preserve">.</w:t>
      </w:r>
    </w:p>
    <w:bookmarkEnd w:id="88"/>
    <w:bookmarkStart w:id="90"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9">
        <w:r>
          <w:rPr>
            <w:rStyle w:val="Hyperlink"/>
          </w:rPr>
          <w:t xml:space="preserve">https://doi.org/10.1101/2025.10.15.25337992</w:t>
        </w:r>
      </w:hyperlink>
      <w:r>
        <w:t xml:space="preserve">.</w:t>
      </w:r>
    </w:p>
    <w:bookmarkEnd w:id="90"/>
    <w:bookmarkStart w:id="91"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1"/>
    <w:bookmarkStart w:id="93" w:name="ref-wickham"/>
    <w:p>
      <w:pPr>
        <w:pStyle w:val="Bibliography"/>
      </w:pPr>
      <w:r>
        <w:t xml:space="preserve">Wickham, Hadley, Mine Çetinkaya-Rundel, and Garrett Grolemund. n.d.</w:t>
      </w:r>
      <w:r>
        <w:t xml:space="preserve"> </w:t>
      </w:r>
      <w:r>
        <w:t xml:space="preserve">“R for Data Science (2e).”</w:t>
      </w:r>
      <w:r>
        <w:t xml:space="preserve"> </w:t>
      </w:r>
      <w:hyperlink r:id="rId92">
        <w:r>
          <w:rPr>
            <w:rStyle w:val="Hyperlink"/>
          </w:rPr>
          <w:t xml:space="preserve">https://r4ds.hadley.nz/</w:t>
        </w:r>
      </w:hyperlink>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9" Target="media/rId79.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2026-03-15T18:13:25Z</dcterms:created>
  <dcterms:modified xsi:type="dcterms:W3CDTF">2026-03-15T18:13:25Z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