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seminair</w:t>
            </w:r>
            <w:r>
              <w:t xml:space="preserve"> </w:t>
            </w:r>
            <w:hyperlink r:id="rId23">
              <w:r>
                <w:rPr>
                  <w:rStyle w:val="Hyperlink"/>
                </w:rPr>
                <w:t xml:space="preserve">ES1</w:t>
              </w:r>
            </w:hyperlink>
            <w:r>
              <w:t xml:space="preserve"> </w:t>
            </w:r>
            <w:r>
              <w:t xml:space="preserve">(not in the DISA exam). You are allowed to use the sources during the seminair (no need to memorize individual laws and paragraphs by names and numbers). Nevertheless, read the literature before the seminair!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mather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offences,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fertilisation, abortion, sterilisation,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organisations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regionel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critisism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1654efcd2dc2732a23342c324168a6118cf40c0"/>
    <w:p>
      <w:pPr>
        <w:pStyle w:val="Heading2"/>
      </w:pPr>
      <w:r>
        <w:t xml:space="preserve">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Swedish legislation</dc:title>
  <dc:creator/>
  <cp:keywords/>
  <dcterms:created xsi:type="dcterms:W3CDTF">2026-01-24T20:22:05Z</dcterms:created>
  <dcterms:modified xsi:type="dcterms:W3CDTF">2026-01-24T20:22:05Z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