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accassible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reimbursment (insurense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organisations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helth status, questionaires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similair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organisations)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similair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allaowed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2026-02-23T11:32:52Z</dcterms:created>
  <dcterms:modified xsi:type="dcterms:W3CDTF">2026-02-23T11:32:52Z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1), (Ludvigsson et al. 2009), (Laugesen et al. 2021)</vt:lpwstr>
  </property>
  <property fmtid="{D5CDD505-2E9C-101B-9397-08002B2CF9AE}" pid="9" name="subtitle">
    <vt:lpwstr>Overwiev of this part of the course</vt:lpwstr>
  </property>
  <property fmtid="{D5CDD505-2E9C-101B-9397-08002B2CF9AE}" pid="10" name="toc-title">
    <vt:lpwstr>Table of contents</vt:lpwstr>
  </property>
</Properties>
</file>