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accessible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reimbursement (insurance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organizations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health status, questionnaires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prosthesis,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 behavior</w:t>
      </w:r>
      <w:r>
        <w:t xml:space="preserve"> </w:t>
      </w:r>
      <w:r>
        <w:rPr>
          <w:b/>
          <w:bCs/>
        </w:rPr>
        <w:t xml:space="preserve">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organizations)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2026-03-09T09:06:37Z</dcterms:created>
  <dcterms:modified xsi:type="dcterms:W3CDTF">2026-03-09T09:06:37Z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ading">
    <vt:lpwstr>(Nguyen 2022, ch. 1), (Ludvigsson et al. 2009), (Laugesen et al. 2021)</vt:lpwstr>
  </property>
  <property fmtid="{D5CDD505-2E9C-101B-9397-08002B2CF9AE}" pid="10" name="subtitle">
    <vt:lpwstr>Overwiev of this part of the course</vt:lpwstr>
  </property>
  <property fmtid="{D5CDD505-2E9C-101B-9397-08002B2CF9AE}" pid="11" name="toc-title">
    <vt:lpwstr>Table of contents</vt:lpwstr>
  </property>
</Properties>
</file>