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source for examination (seminar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examined).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 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organizational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 unauthorized</w:t>
      </w:r>
      <w:r>
        <w:t xml:space="preserve"> </w:t>
      </w:r>
      <w:r>
        <w:rPr>
          <w:b/>
          <w:bCs/>
        </w:rPr>
        <w:t xml:space="preserve">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organizational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authorized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organizational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recognizes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harmonization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2026-03-09T09:06:27Z</dcterms:created>
  <dcterms:modified xsi:type="dcterms:W3CDTF">2026-03-09T09:06:27Z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(Vukovic et al. 2022), (Nguyen 2022, ch. 4)</vt:lpwstr>
  </property>
  <property fmtid="{D5CDD505-2E9C-101B-9397-08002B2CF9AE}" pid="10" name="subtitle">
    <vt:lpwstr>GDPR, EHDS and DA</vt:lpwstr>
  </property>
  <property fmtid="{D5CDD505-2E9C-101B-9397-08002B2CF9AE}" pid="11" name="toc-title">
    <vt:lpwstr>Table of contents</vt:lpwstr>
  </property>
</Properties>
</file>