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3"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pPr>
        <w:pStyle w:val="FirstParagraph"/>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p>
      <w:pPr>
        <w:pStyle w:val="FirstParagraph"/>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0"/>
    <w:bookmarkStart w:id="41"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1"/>
    <w:bookmarkStart w:id="42"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2"/>
    <w:bookmarkEnd w:id="43"/>
    <w:bookmarkStart w:id="45"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4"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4"/>
    <w:bookmarkEnd w:id="45"/>
    <w:bookmarkStart w:id="49"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6" w:name="main-variables-include"/>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6"/>
    <w:bookmarkStart w:id="47"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7"/>
    <w:bookmarkStart w:id="48"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48"/>
    <w:bookmarkEnd w:id="49"/>
    <w:bookmarkStart w:id="51"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“A-anmälan”</w:t>
      </w:r>
      <w:r>
        <w:t xml:space="preserve">) and pathology laboratories (</w:t>
      </w:r>
      <w:r>
        <w:t xml:space="preserve">“B-anmälan”</w:t>
      </w:r>
      <w:r>
        <w:t xml:space="preserve">).</w:t>
      </w:r>
    </w:p>
    <w:bookmarkStart w:id="50"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t xml:space="preserve">Western (VGR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B-anmälan)</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0"/>
    <w:bookmarkEnd w:id="51"/>
    <w:bookmarkStart w:id="52" w:name="strengths-and-limitations"/>
    <w:p>
      <w:pPr>
        <w:pStyle w:val="Heading2"/>
      </w:pPr>
      <w:r>
        <w:t xml:space="preserve">Strengths and limitations</w:t>
      </w:r>
    </w:p>
    <w:p>
      <w:pPr>
        <w:pStyle w:val="FirstParagraph"/>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p>
      <w:pPr>
        <w:pStyle w:val="FirstParagraph"/>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2"/>
    <w:bookmarkStart w:id="55"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3"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3"/>
    <w:bookmarkStart w:id="54"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4"/>
    <w:bookmarkEnd w:id="55"/>
    <w:bookmarkStart w:id="61"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 initiated the chain of events 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6" w:name="strengths"/>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6"/>
    <w:bookmarkStart w:id="60" w:name="limitations-1"/>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0"/>
    <w:bookmarkEnd w:id="61"/>
    <w:bookmarkStart w:id="66"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2"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2"/>
    <w:bookmarkStart w:id="63"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3"/>
    <w:bookmarkStart w:id="64" w:name="important-characteristics"/>
    <w:p>
      <w:pPr>
        <w:pStyle w:val="Heading3"/>
      </w:pPr>
      <w:r>
        <w:t xml:space="preserve">Important characteristics</w:t>
      </w:r>
    </w:p>
    <w:p>
      <w:pPr>
        <w:pStyle w:val="Compact"/>
        <w:numPr>
          <w:ilvl w:val="0"/>
          <w:numId w:val="1060"/>
        </w:numPr>
      </w:pPr>
      <w:r>
        <w:rPr>
          <w:b/>
          <w:bCs/>
        </w:rPr>
        <w:t xml:space="preserve">longitudinal data updated annually</w:t>
      </w:r>
    </w:p>
    <w:p>
      <w:pPr>
        <w:pStyle w:val="Compact"/>
        <w:numPr>
          <w:ilvl w:val="0"/>
          <w:numId w:val="1060"/>
        </w:numPr>
      </w:pPr>
      <w:r>
        <w:t xml:space="preserve">based on administrative registers from several authorities</w:t>
      </w:r>
    </w:p>
    <w:p>
      <w:pPr>
        <w:pStyle w:val="Compact"/>
        <w:numPr>
          <w:ilvl w:val="0"/>
          <w:numId w:val="1060"/>
        </w:numPr>
      </w:pPr>
      <w:r>
        <w:t xml:space="preserve">can be linked to health registers using the</w:t>
      </w:r>
      <w:r>
        <w:t xml:space="preserve"> </w:t>
      </w:r>
      <w:r>
        <w:rPr>
          <w:b/>
          <w:bCs/>
        </w:rPr>
        <w:t xml:space="preserve">personal identity number</w:t>
      </w:r>
    </w:p>
    <w:bookmarkEnd w:id="64"/>
    <w:bookmarkStart w:id="65" w:name="used-for-1"/>
    <w:p>
      <w:pPr>
        <w:pStyle w:val="Heading3"/>
      </w:pPr>
      <w:r>
        <w:t xml:space="preserve">used for</w:t>
      </w:r>
    </w:p>
    <w:p>
      <w:pPr>
        <w:pStyle w:val="Compact"/>
        <w:numPr>
          <w:ilvl w:val="0"/>
          <w:numId w:val="1061"/>
        </w:numPr>
      </w:pPr>
      <w:r>
        <w:t xml:space="preserve">adjustment for socioeconomic factors</w:t>
      </w:r>
    </w:p>
    <w:p>
      <w:pPr>
        <w:pStyle w:val="Compact"/>
        <w:numPr>
          <w:ilvl w:val="0"/>
          <w:numId w:val="1061"/>
        </w:numPr>
      </w:pPr>
      <w:r>
        <w:t xml:space="preserve">studies of inequalities in health</w:t>
      </w:r>
    </w:p>
    <w:p>
      <w:pPr>
        <w:pStyle w:val="Compact"/>
        <w:numPr>
          <w:ilvl w:val="0"/>
          <w:numId w:val="1061"/>
        </w:numPr>
      </w:pPr>
      <w:r>
        <w:t xml:space="preserve">labour market and health research</w:t>
      </w:r>
    </w:p>
    <w:bookmarkEnd w:id="65"/>
    <w:bookmarkEnd w:id="66"/>
    <w:bookmarkStart w:id="69"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7" w:name="examples-1"/>
    <w:p>
      <w:pPr>
        <w:pStyle w:val="Heading3"/>
      </w:pPr>
      <w:r>
        <w:t xml:space="preserve">Examples</w:t>
      </w:r>
    </w:p>
    <w:p>
      <w:pPr>
        <w:pStyle w:val="Compact"/>
        <w:numPr>
          <w:ilvl w:val="0"/>
          <w:numId w:val="1062"/>
        </w:numPr>
      </w:pPr>
      <w:r>
        <w:t xml:space="preserve">social assistance (economic support)</w:t>
      </w:r>
    </w:p>
    <w:p>
      <w:pPr>
        <w:pStyle w:val="Compact"/>
        <w:numPr>
          <w:ilvl w:val="0"/>
          <w:numId w:val="1062"/>
        </w:numPr>
      </w:pPr>
      <w:r>
        <w:t xml:space="preserve">interventions for children and adolescents</w:t>
      </w:r>
    </w:p>
    <w:p>
      <w:pPr>
        <w:pStyle w:val="Compact"/>
        <w:numPr>
          <w:ilvl w:val="0"/>
          <w:numId w:val="1062"/>
        </w:numPr>
      </w:pPr>
      <w:r>
        <w:t xml:space="preserve">substance abuse treatment</w:t>
      </w:r>
    </w:p>
    <w:p>
      <w:pPr>
        <w:pStyle w:val="Compact"/>
        <w:numPr>
          <w:ilvl w:val="0"/>
          <w:numId w:val="1062"/>
        </w:numPr>
      </w:pPr>
      <w:r>
        <w:t xml:space="preserve">some elderly care services</w:t>
      </w:r>
    </w:p>
    <w:bookmarkEnd w:id="67"/>
    <w:bookmarkStart w:id="68" w:name="purpose-2"/>
    <w:p>
      <w:pPr>
        <w:pStyle w:val="Heading3"/>
      </w:pPr>
      <w:r>
        <w:t xml:space="preserve">Purpose:</w:t>
      </w:r>
    </w:p>
    <w:p>
      <w:pPr>
        <w:pStyle w:val="Compact"/>
        <w:numPr>
          <w:ilvl w:val="0"/>
          <w:numId w:val="1063"/>
        </w:numPr>
      </w:pPr>
      <w:r>
        <w:t xml:space="preserve">monitor social welfare services</w:t>
      </w:r>
    </w:p>
    <w:p>
      <w:pPr>
        <w:pStyle w:val="Compact"/>
        <w:numPr>
          <w:ilvl w:val="0"/>
          <w:numId w:val="1063"/>
        </w:numPr>
      </w:pPr>
      <w:r>
        <w:t xml:space="preserve">support research on</w:t>
      </w:r>
      <w:r>
        <w:t xml:space="preserve"> </w:t>
      </w:r>
      <w:r>
        <w:rPr>
          <w:b/>
          <w:bCs/>
        </w:rPr>
        <w:t xml:space="preserve">social determinants of health</w:t>
      </w:r>
    </w:p>
    <w:bookmarkEnd w:id="68"/>
    <w:bookmarkEnd w:id="69"/>
    <w:bookmarkStart w:id="73"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0" w:name="examples-2"/>
    <w:p>
      <w:pPr>
        <w:pStyle w:val="Heading3"/>
      </w:pPr>
      <w:r>
        <w:t xml:space="preserve">Examples</w:t>
      </w:r>
    </w:p>
    <w:p>
      <w:pPr>
        <w:pStyle w:val="Compact"/>
        <w:numPr>
          <w:ilvl w:val="0"/>
          <w:numId w:val="1064"/>
        </w:numPr>
      </w:pPr>
      <w:r>
        <w:t xml:space="preserve">sickness benefit (sick leave compensation)</w:t>
      </w:r>
    </w:p>
    <w:p>
      <w:pPr>
        <w:pStyle w:val="Compact"/>
        <w:numPr>
          <w:ilvl w:val="0"/>
          <w:numId w:val="1064"/>
        </w:numPr>
      </w:pPr>
      <w:r>
        <w:t xml:space="preserve">disability pension</w:t>
      </w:r>
    </w:p>
    <w:p>
      <w:pPr>
        <w:pStyle w:val="Compact"/>
        <w:numPr>
          <w:ilvl w:val="0"/>
          <w:numId w:val="1064"/>
        </w:numPr>
      </w:pPr>
      <w:r>
        <w:t xml:space="preserve">parental leave benefits</w:t>
      </w:r>
    </w:p>
    <w:p>
      <w:pPr>
        <w:pStyle w:val="Compact"/>
        <w:numPr>
          <w:ilvl w:val="0"/>
          <w:numId w:val="1064"/>
        </w:numPr>
      </w:pPr>
      <w:r>
        <w:t xml:space="preserve">work injury compensation</w:t>
      </w:r>
    </w:p>
    <w:bookmarkEnd w:id="70"/>
    <w:bookmarkStart w:id="71" w:name="main-variables"/>
    <w:p>
      <w:pPr>
        <w:pStyle w:val="Heading3"/>
      </w:pPr>
      <w:r>
        <w:t xml:space="preserve">Main variables</w:t>
      </w:r>
    </w:p>
    <w:p>
      <w:pPr>
        <w:pStyle w:val="Compact"/>
        <w:numPr>
          <w:ilvl w:val="0"/>
          <w:numId w:val="1065"/>
        </w:numPr>
      </w:pPr>
      <w:r>
        <w:t xml:space="preserve">benefit type</w:t>
      </w:r>
    </w:p>
    <w:p>
      <w:pPr>
        <w:pStyle w:val="Compact"/>
        <w:numPr>
          <w:ilvl w:val="0"/>
          <w:numId w:val="1065"/>
        </w:numPr>
      </w:pPr>
      <w:r>
        <w:t xml:space="preserve">start and end dates</w:t>
      </w:r>
    </w:p>
    <w:p>
      <w:pPr>
        <w:pStyle w:val="Compact"/>
        <w:numPr>
          <w:ilvl w:val="0"/>
          <w:numId w:val="1065"/>
        </w:numPr>
      </w:pPr>
      <w:r>
        <w:t xml:space="preserve">degree of compensation (e.g. 25–100%)</w:t>
      </w:r>
    </w:p>
    <w:p>
      <w:pPr>
        <w:pStyle w:val="Compact"/>
        <w:numPr>
          <w:ilvl w:val="0"/>
          <w:numId w:val="1065"/>
        </w:numPr>
      </w:pPr>
      <w:r>
        <w:t xml:space="preserve">diagnosis for sickness absence</w:t>
      </w:r>
    </w:p>
    <w:p>
      <w:pPr>
        <w:pStyle w:val="Compact"/>
        <w:numPr>
          <w:ilvl w:val="0"/>
          <w:numId w:val="1065"/>
        </w:numPr>
      </w:pPr>
      <w:r>
        <w:t xml:space="preserve">demographic information</w:t>
      </w:r>
    </w:p>
    <w:bookmarkEnd w:id="71"/>
    <w:bookmarkStart w:id="72" w:name="important-characteristics-1"/>
    <w:p>
      <w:pPr>
        <w:pStyle w:val="Heading3"/>
      </w:pPr>
      <w:r>
        <w:t xml:space="preserve">Important characteristics</w:t>
      </w:r>
    </w:p>
    <w:p>
      <w:pPr>
        <w:pStyle w:val="Compact"/>
        <w:numPr>
          <w:ilvl w:val="0"/>
          <w:numId w:val="1066"/>
        </w:numPr>
      </w:pPr>
      <w:r>
        <w:t xml:space="preserve">based on</w:t>
      </w:r>
      <w:r>
        <w:t xml:space="preserve"> </w:t>
      </w:r>
      <w:r>
        <w:rPr>
          <w:b/>
          <w:bCs/>
        </w:rPr>
        <w:t xml:space="preserve">administrative data used for benefit decisions</w:t>
      </w:r>
    </w:p>
    <w:p>
      <w:pPr>
        <w:pStyle w:val="Compact"/>
        <w:numPr>
          <w:ilvl w:val="0"/>
          <w:numId w:val="1066"/>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2"/>
    <w:bookmarkEnd w:id="73"/>
    <w:bookmarkStart w:id="74"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7"/>
        </w:numPr>
      </w:pPr>
      <w:r>
        <w:t xml:space="preserve">monitor and improve quality of care</w:t>
      </w:r>
    </w:p>
    <w:p>
      <w:pPr>
        <w:pStyle w:val="Compact"/>
        <w:numPr>
          <w:ilvl w:val="0"/>
          <w:numId w:val="1067"/>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8"/>
        </w:numPr>
      </w:pPr>
      <w:r>
        <w:t xml:space="preserve">focus on specific diagnoses, treatments, or procedures</w:t>
      </w:r>
    </w:p>
    <w:p>
      <w:pPr>
        <w:pStyle w:val="Compact"/>
        <w:numPr>
          <w:ilvl w:val="0"/>
          <w:numId w:val="1068"/>
        </w:numPr>
      </w:pPr>
      <w:r>
        <w:t xml:space="preserve">contain more detailed clinical data than national health data registers</w:t>
      </w:r>
    </w:p>
    <w:p>
      <w:pPr>
        <w:pStyle w:val="Compact"/>
        <w:numPr>
          <w:ilvl w:val="0"/>
          <w:numId w:val="1068"/>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4"/>
    <w:bookmarkStart w:id="75" w:name="organisation"/>
    <w:p>
      <w:pPr>
        <w:pStyle w:val="Heading2"/>
      </w:pPr>
      <w:r>
        <w:t xml:space="preserve">Organisation</w:t>
      </w:r>
    </w:p>
    <w:p>
      <w:pPr>
        <w:pStyle w:val="FirstParagraph"/>
      </w:pPr>
      <w:r>
        <w:t xml:space="preserve">Quality registers are typically organised by</w:t>
      </w:r>
      <w:r>
        <w:t xml:space="preserve"> </w:t>
      </w:r>
      <w:r>
        <w:rPr>
          <w:b/>
          <w:bCs/>
        </w:rPr>
        <w:t xml:space="preserve">clinical communities</w:t>
      </w:r>
      <w:r>
        <w:t xml:space="preserve">.</w:t>
      </w:r>
    </w:p>
    <w:p>
      <w:pPr>
        <w:pStyle w:val="BodyText"/>
      </w:pPr>
      <w:r>
        <w:t xml:space="preserve">Key actors include:</w:t>
      </w:r>
    </w:p>
    <w:p>
      <w:pPr>
        <w:pStyle w:val="Compact"/>
        <w:numPr>
          <w:ilvl w:val="0"/>
          <w:numId w:val="1069"/>
        </w:numPr>
      </w:pPr>
      <w:r>
        <w:t xml:space="preserve">clinicians and researchers responsible for the register</w:t>
      </w:r>
    </w:p>
    <w:p>
      <w:pPr>
        <w:pStyle w:val="Compact"/>
        <w:numPr>
          <w:ilvl w:val="0"/>
          <w:numId w:val="1069"/>
        </w:numPr>
      </w:pPr>
      <w:r>
        <w:t xml:space="preserve">steering groups for each register</w:t>
      </w:r>
    </w:p>
    <w:p>
      <w:pPr>
        <w:pStyle w:val="Compact"/>
        <w:numPr>
          <w:ilvl w:val="0"/>
          <w:numId w:val="1069"/>
        </w:numPr>
      </w:pPr>
      <w:r>
        <w:t xml:space="preserve">regional cancer centres and register centers</w:t>
      </w:r>
    </w:p>
    <w:p>
      <w:pPr>
        <w:pStyle w:val="Compact"/>
        <w:numPr>
          <w:ilvl w:val="0"/>
          <w:numId w:val="1069"/>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9"/>
        </w:numPr>
      </w:pPr>
      <w:r>
        <w:t xml:space="preserve">Registers are usually hosted by</w:t>
      </w:r>
      <w:r>
        <w:t xml:space="preserve"> </w:t>
      </w:r>
      <w:r>
        <w:rPr>
          <w:b/>
          <w:bCs/>
        </w:rPr>
        <w:t xml:space="preserve">regional healthcare organisations</w:t>
      </w:r>
      <w:r>
        <w:t xml:space="preserve"> </w:t>
      </w:r>
      <w:r>
        <w:t xml:space="preserve">and funded through national and regional support.</w:t>
      </w:r>
    </w:p>
    <w:p>
      <w:pPr>
        <w:pStyle w:val="Compact"/>
        <w:numPr>
          <w:ilvl w:val="0"/>
          <w:numId w:val="1069"/>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5"/>
    <w:bookmarkStart w:id="76" w:name="promprem"/>
    <w:p>
      <w:pPr>
        <w:pStyle w:val="Heading2"/>
      </w:pPr>
      <w:r>
        <w:t xml:space="preserve">PROM/PREM</w:t>
      </w:r>
    </w:p>
    <w:p>
      <w:pPr>
        <w:pStyle w:val="FirstParagraph"/>
      </w:pPr>
      <w:r>
        <w:t xml:space="preserve">In addition to clinical data, many registers also collect:</w:t>
      </w:r>
    </w:p>
    <w:p>
      <w:pPr>
        <w:pStyle w:val="Compact"/>
        <w:numPr>
          <w:ilvl w:val="0"/>
          <w:numId w:val="1070"/>
        </w:numPr>
      </w:pPr>
      <w:r>
        <w:rPr>
          <w:b/>
          <w:bCs/>
        </w:rPr>
        <w:t xml:space="preserve">PROM</w:t>
      </w:r>
      <w:r>
        <w:t xml:space="preserve"> </w:t>
      </w:r>
      <w:r>
        <w:t xml:space="preserve">– Patient Reported Outcome Measures</w:t>
      </w:r>
    </w:p>
    <w:p>
      <w:pPr>
        <w:pStyle w:val="Compact"/>
        <w:numPr>
          <w:ilvl w:val="0"/>
          <w:numId w:val="1070"/>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71"/>
        </w:numPr>
      </w:pPr>
      <w:r>
        <w:t xml:space="preserve">patients’ own assessment of health status</w:t>
      </w:r>
    </w:p>
    <w:p>
      <w:pPr>
        <w:pStyle w:val="Compact"/>
        <w:numPr>
          <w:ilvl w:val="0"/>
          <w:numId w:val="1071"/>
        </w:numPr>
      </w:pPr>
      <w:r>
        <w:t xml:space="preserve">quality of care from the patient perspective</w:t>
      </w:r>
    </w:p>
    <w:bookmarkEnd w:id="76"/>
    <w:bookmarkStart w:id="77"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 SALAR</w:t>
            </w:r>
          </w:p>
        </w:tc>
      </w:tr>
    </w:tbl>
    <w:p>
      <w:pPr>
        <w:pStyle w:val="BodyText"/>
      </w:pPr>
      <w:r>
        <w:t xml:space="preserve">Key characteristics:</w:t>
      </w:r>
    </w:p>
    <w:p>
      <w:pPr>
        <w:pStyle w:val="Compact"/>
        <w:numPr>
          <w:ilvl w:val="0"/>
          <w:numId w:val="1072"/>
        </w:numPr>
      </w:pPr>
      <w:r>
        <w:rPr>
          <w:b/>
          <w:bCs/>
        </w:rPr>
        <w:t xml:space="preserve">Nationwide coverage</w:t>
      </w:r>
      <w:r>
        <w:t xml:space="preserve"> </w:t>
      </w:r>
      <w:r>
        <w:t xml:space="preserve">for many registers</w:t>
      </w:r>
    </w:p>
    <w:p>
      <w:pPr>
        <w:pStyle w:val="Compact"/>
        <w:numPr>
          <w:ilvl w:val="0"/>
          <w:numId w:val="1072"/>
        </w:numPr>
      </w:pPr>
      <w:r>
        <w:t xml:space="preserve">Longitudinal data spanning several decades</w:t>
      </w:r>
    </w:p>
    <w:p>
      <w:pPr>
        <w:pStyle w:val="Compact"/>
        <w:numPr>
          <w:ilvl w:val="0"/>
          <w:numId w:val="1072"/>
        </w:numPr>
      </w:pPr>
      <w:r>
        <w:t xml:space="preserve">Possibility of</w:t>
      </w:r>
      <w:r>
        <w:t xml:space="preserve"> </w:t>
      </w:r>
      <w:r>
        <w:rPr>
          <w:b/>
          <w:bCs/>
        </w:rPr>
        <w:t xml:space="preserve">individual-level linkage across registers</w:t>
      </w:r>
    </w:p>
    <w:p>
      <w:pPr>
        <w:pStyle w:val="FirstParagraph"/>
      </w:pPr>
      <w:r>
        <w:t xml:space="preserve">Limitations:</w:t>
      </w:r>
    </w:p>
    <w:p>
      <w:pPr>
        <w:pStyle w:val="Compact"/>
        <w:numPr>
          <w:ilvl w:val="0"/>
          <w:numId w:val="1073"/>
        </w:numPr>
      </w:pPr>
      <w:r>
        <w:t xml:space="preserve">some sectors lack national registers (e.g. </w:t>
      </w:r>
      <w:r>
        <w:rPr>
          <w:b/>
          <w:bCs/>
        </w:rPr>
        <w:t xml:space="preserve">primary care, school health services</w:t>
      </w:r>
      <w:r>
        <w:t xml:space="preserve">)</w:t>
      </w:r>
    </w:p>
    <w:p>
      <w:pPr>
        <w:pStyle w:val="Compact"/>
        <w:numPr>
          <w:ilvl w:val="0"/>
          <w:numId w:val="1073"/>
        </w:numPr>
      </w:pPr>
      <w:r>
        <w:t xml:space="preserve">coverage and data quality may vary across registers</w:t>
      </w:r>
    </w:p>
    <w:bookmarkEnd w:id="77"/>
    <w:bookmarkStart w:id="78"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4"/>
        </w:numPr>
      </w:pPr>
      <w:r>
        <w:t xml:space="preserve">fragmented healthcare systems</w:t>
      </w:r>
    </w:p>
    <w:p>
      <w:pPr>
        <w:pStyle w:val="Compact"/>
        <w:numPr>
          <w:ilvl w:val="0"/>
          <w:numId w:val="1074"/>
        </w:numPr>
      </w:pPr>
      <w:r>
        <w:t xml:space="preserve">lack of unique personal identifiers</w:t>
      </w:r>
    </w:p>
    <w:p>
      <w:pPr>
        <w:pStyle w:val="Compact"/>
        <w:numPr>
          <w:ilvl w:val="0"/>
          <w:numId w:val="1074"/>
        </w:numPr>
      </w:pPr>
      <w:r>
        <w:t xml:space="preserve">multiple data holders (insurance systems, hospitals, regions)</w:t>
      </w:r>
    </w:p>
    <w:p>
      <w:pPr>
        <w:pStyle w:val="Compact"/>
        <w:numPr>
          <w:ilvl w:val="0"/>
          <w:numId w:val="1074"/>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8"/>
    <w:bookmarkStart w:id="79"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5"/>
        </w:numPr>
      </w:pPr>
      <w:r>
        <w:t xml:space="preserve">nationwide administrative registers</w:t>
      </w:r>
    </w:p>
    <w:p>
      <w:pPr>
        <w:pStyle w:val="Compact"/>
        <w:numPr>
          <w:ilvl w:val="0"/>
          <w:numId w:val="1075"/>
        </w:numPr>
      </w:pPr>
      <w:r>
        <w:t xml:space="preserve">universal healthcare systems</w:t>
      </w:r>
    </w:p>
    <w:p>
      <w:pPr>
        <w:pStyle w:val="Compact"/>
        <w:numPr>
          <w:ilvl w:val="0"/>
          <w:numId w:val="1075"/>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79"/>
    <w:bookmarkStart w:id="81"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6"/>
        </w:numPr>
      </w:pPr>
      <w:r>
        <w:t xml:space="preserve">United Kingdom: NHS administrative datasets</w:t>
      </w:r>
    </w:p>
    <w:p>
      <w:pPr>
        <w:pStyle w:val="Compact"/>
        <w:numPr>
          <w:ilvl w:val="0"/>
          <w:numId w:val="1076"/>
        </w:numPr>
      </w:pPr>
      <w:r>
        <w:t xml:space="preserve">Netherlands: population registers linked with health insurance data</w:t>
      </w:r>
    </w:p>
    <w:p>
      <w:pPr>
        <w:pStyle w:val="Compact"/>
        <w:numPr>
          <w:ilvl w:val="0"/>
          <w:numId w:val="1076"/>
        </w:numPr>
      </w:pPr>
      <w:r>
        <w:t xml:space="preserve">United States: insurance claims databases and cohort studies</w:t>
      </w:r>
    </w:p>
    <w:p>
      <w:pPr>
        <w:pStyle w:val="Compact"/>
        <w:numPr>
          <w:ilvl w:val="0"/>
          <w:numId w:val="1076"/>
        </w:numPr>
      </w:pPr>
      <w:r>
        <w:t xml:space="preserve">Canada: provincial administrative health data</w:t>
      </w:r>
    </w:p>
    <w:bookmarkStart w:id="80" w:name="Xba40e866e61e738241fd13fe78a786f3f81a2a0"/>
    <w:p>
      <w:pPr>
        <w:pStyle w:val="Heading3"/>
      </w:pPr>
      <w:r>
        <w:t xml:space="preserve">These systems can provide valuable data, but often lack:</w:t>
      </w:r>
    </w:p>
    <w:p>
      <w:pPr>
        <w:pStyle w:val="Compact"/>
        <w:numPr>
          <w:ilvl w:val="0"/>
          <w:numId w:val="1077"/>
        </w:numPr>
      </w:pPr>
      <w:r>
        <w:t xml:space="preserve">nationwide coverage</w:t>
      </w:r>
    </w:p>
    <w:p>
      <w:pPr>
        <w:pStyle w:val="Compact"/>
        <w:numPr>
          <w:ilvl w:val="0"/>
          <w:numId w:val="1077"/>
        </w:numPr>
      </w:pPr>
      <w:r>
        <w:t xml:space="preserve">consistent linkage across registers</w:t>
      </w:r>
    </w:p>
    <w:p>
      <w:pPr>
        <w:pStyle w:val="Compact"/>
        <w:numPr>
          <w:ilvl w:val="0"/>
          <w:numId w:val="1077"/>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0"/>
    <w:bookmarkEnd w:id="81"/>
    <w:bookmarkStart w:id="98" w:name="swedish-twin-registry"/>
    <w:p>
      <w:pPr>
        <w:pStyle w:val="Heading2"/>
      </w:pPr>
      <w:r>
        <w:t xml:space="preserve">Swedish Twin Registry</w:t>
      </w:r>
    </w:p>
    <w:p>
      <w:pPr>
        <w:pStyle w:val="Compact"/>
        <w:numPr>
          <w:ilvl w:val="0"/>
          <w:numId w:val="1078"/>
        </w:numPr>
      </w:pPr>
      <w:r>
        <w:t xml:space="preserve">Maintained by</w:t>
      </w:r>
      <w:r>
        <w:t xml:space="preserve"> </w:t>
      </w:r>
      <w:r>
        <w:rPr>
          <w:b/>
          <w:bCs/>
        </w:rPr>
        <w:t xml:space="preserve">Karolinska Institutet</w:t>
      </w:r>
    </w:p>
    <w:p>
      <w:pPr>
        <w:pStyle w:val="Compact"/>
        <w:numPr>
          <w:ilvl w:val="0"/>
          <w:numId w:val="1078"/>
        </w:numPr>
      </w:pPr>
      <w:r>
        <w:t xml:space="preserve">Established in</w:t>
      </w:r>
      <w:r>
        <w:t xml:space="preserve"> </w:t>
      </w:r>
      <w:r>
        <w:rPr>
          <w:b/>
          <w:bCs/>
        </w:rPr>
        <w:t xml:space="preserve">1961</w:t>
      </w:r>
    </w:p>
    <w:p>
      <w:pPr>
        <w:pStyle w:val="Compact"/>
        <w:numPr>
          <w:ilvl w:val="0"/>
          <w:numId w:val="1078"/>
        </w:numPr>
      </w:pPr>
      <w:r>
        <w:t xml:space="preserve">One of the</w:t>
      </w:r>
      <w:r>
        <w:t xml:space="preserve"> </w:t>
      </w:r>
      <w:r>
        <w:rPr>
          <w:b/>
          <w:bCs/>
        </w:rPr>
        <w:t xml:space="preserve">largest twin registers in the world</w:t>
      </w:r>
    </w:p>
    <w:bookmarkStart w:id="82" w:name="information-on"/>
    <w:p>
      <w:pPr>
        <w:pStyle w:val="Heading3"/>
      </w:pPr>
      <w:r>
        <w:t xml:space="preserve">Information on</w:t>
      </w:r>
    </w:p>
    <w:p>
      <w:pPr>
        <w:pStyle w:val="Compact"/>
        <w:numPr>
          <w:ilvl w:val="0"/>
          <w:numId w:val="1079"/>
        </w:numPr>
      </w:pPr>
      <w:r>
        <w:t xml:space="preserve">twins born in Sweden since the late 1800s</w:t>
      </w:r>
    </w:p>
    <w:p>
      <w:pPr>
        <w:pStyle w:val="Compact"/>
        <w:numPr>
          <w:ilvl w:val="0"/>
          <w:numId w:val="1079"/>
        </w:numPr>
      </w:pPr>
      <w:r>
        <w:t xml:space="preserve">zygosity (monozygotic / dizygotic)</w:t>
      </w:r>
    </w:p>
    <w:p>
      <w:pPr>
        <w:pStyle w:val="Compact"/>
        <w:numPr>
          <w:ilvl w:val="0"/>
          <w:numId w:val="1079"/>
        </w:numPr>
      </w:pPr>
      <w:r>
        <w:t xml:space="preserve">health outcomes</w:t>
      </w:r>
    </w:p>
    <w:p>
      <w:pPr>
        <w:pStyle w:val="Compact"/>
        <w:numPr>
          <w:ilvl w:val="0"/>
          <w:numId w:val="1079"/>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2"/>
    <w:bookmarkStart w:id="83"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3"/>
    <w:bookmarkStart w:id="97" w:name="typical-study-designs"/>
    <w:p>
      <w:pPr>
        <w:pStyle w:val="Heading3"/>
      </w:pPr>
      <w:r>
        <w:t xml:space="preserve">Typical study designs:</w:t>
      </w:r>
    </w:p>
    <w:p>
      <w:pPr>
        <w:pStyle w:val="Compact"/>
        <w:numPr>
          <w:ilvl w:val="0"/>
          <w:numId w:val="1080"/>
        </w:numPr>
      </w:pPr>
      <w:r>
        <w:t xml:space="preserve">twin concordance studies</w:t>
      </w:r>
    </w:p>
    <w:p>
      <w:pPr>
        <w:pStyle w:val="Compact"/>
        <w:numPr>
          <w:ilvl w:val="0"/>
          <w:numId w:val="1080"/>
        </w:numPr>
      </w:pPr>
      <w:r>
        <w:t xml:space="preserve">co-twin control studies</w:t>
      </w:r>
    </w:p>
    <w:p>
      <w:pPr>
        <w:pStyle w:val="Compact"/>
        <w:numPr>
          <w:ilvl w:val="0"/>
          <w:numId w:val="1080"/>
        </w:numPr>
      </w:pPr>
      <w:r>
        <w:t xml:space="preserve">longitudinal follow-up</w:t>
      </w:r>
    </w:p>
    <w:p>
      <w:r>
        <w:pict>
          <v:rect style="width:0;height:1.5pt" o:hralign="center" o:hrstd="t" o:hr="t"/>
        </w:pict>
      </w:r>
    </w:p>
    <w:bookmarkStart w:id="96" w:name="refs"/>
    <w:bookmarkStart w:id="85"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4">
        <w:r>
          <w:rPr>
            <w:rStyle w:val="Hyperlink"/>
          </w:rPr>
          <w:t xml:space="preserve">https://doi.org/10.1007/s10654-017-0316-1</w:t>
        </w:r>
      </w:hyperlink>
      <w:r>
        <w:t xml:space="preserve">.</w:t>
      </w:r>
    </w:p>
    <w:bookmarkEnd w:id="85"/>
    <w:bookmarkStart w:id="87"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6">
        <w:r>
          <w:rPr>
            <w:rStyle w:val="Hyperlink"/>
          </w:rPr>
          <w:t xml:space="preserve">https://doi.org/10.1111/joim.12303</w:t>
        </w:r>
      </w:hyperlink>
      <w:r>
        <w:t xml:space="preserve">.</w:t>
      </w:r>
    </w:p>
    <w:bookmarkEnd w:id="87"/>
    <w:bookmarkStart w:id="89"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8">
        <w:r>
          <w:rPr>
            <w:rStyle w:val="Hyperlink"/>
          </w:rPr>
          <w:t xml:space="preserve">https://doi.org/10.1007/s10654-025-01221-0</w:t>
        </w:r>
      </w:hyperlink>
      <w:r>
        <w:t xml:space="preserve">.</w:t>
      </w:r>
    </w:p>
    <w:bookmarkEnd w:id="89"/>
    <w:bookmarkStart w:id="91"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0">
        <w:r>
          <w:rPr>
            <w:rStyle w:val="Hyperlink"/>
          </w:rPr>
          <w:t xml:space="preserve">https://doi.org/10.37737/ace.27005</w:t>
        </w:r>
      </w:hyperlink>
      <w:r>
        <w:t xml:space="preserve">.</w:t>
      </w:r>
    </w:p>
    <w:bookmarkEnd w:id="91"/>
    <w:bookmarkStart w:id="93"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2">
        <w:r>
          <w:rPr>
            <w:rStyle w:val="Hyperlink"/>
          </w:rPr>
          <w:t xml:space="preserve">https://doi.org/10.1007/s10654-016-0117-y</w:t>
        </w:r>
      </w:hyperlink>
      <w:r>
        <w:t xml:space="preserve">.</w:t>
      </w:r>
    </w:p>
    <w:bookmarkEnd w:id="93"/>
    <w:bookmarkStart w:id="95"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4">
        <w:r>
          <w:rPr>
            <w:rStyle w:val="Hyperlink"/>
          </w:rPr>
          <w:t xml:space="preserve">https://doi.org/10.1007/s10654-019-00511-8</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2" Target="media/rId22.png" /><Relationship Type="http://schemas.openxmlformats.org/officeDocument/2006/relationships/hyperlink" Id="rId92" Target="https://doi.org/10.1007/s10654-016-0117-y" TargetMode="External" /><Relationship Type="http://schemas.openxmlformats.org/officeDocument/2006/relationships/hyperlink" Id="rId84" Target="https://doi.org/10.1007/s10654-017-0316-1" TargetMode="External" /><Relationship Type="http://schemas.openxmlformats.org/officeDocument/2006/relationships/hyperlink" Id="rId94" Target="https://doi.org/10.1007/s10654-019-00511-8" TargetMode="External" /><Relationship Type="http://schemas.openxmlformats.org/officeDocument/2006/relationships/hyperlink" Id="rId88" Target="https://doi.org/10.1007/s10654-025-01221-0" TargetMode="External" /><Relationship Type="http://schemas.openxmlformats.org/officeDocument/2006/relationships/hyperlink" Id="rId86" Target="https://doi.org/10.1111/joim.12303" TargetMode="External" /><Relationship Type="http://schemas.openxmlformats.org/officeDocument/2006/relationships/hyperlink" Id="rId90"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7/s10654-016-0117-y" TargetMode="External" /><Relationship Type="http://schemas.openxmlformats.org/officeDocument/2006/relationships/hyperlink" Id="rId84" Target="https://doi.org/10.1007/s10654-017-0316-1" TargetMode="External" /><Relationship Type="http://schemas.openxmlformats.org/officeDocument/2006/relationships/hyperlink" Id="rId94" Target="https://doi.org/10.1007/s10654-019-00511-8" TargetMode="External" /><Relationship Type="http://schemas.openxmlformats.org/officeDocument/2006/relationships/hyperlink" Id="rId88" Target="https://doi.org/10.1007/s10654-025-01221-0" TargetMode="External" /><Relationship Type="http://schemas.openxmlformats.org/officeDocument/2006/relationships/hyperlink" Id="rId86" Target="https://doi.org/10.1111/joim.12303" TargetMode="External" /><Relationship Type="http://schemas.openxmlformats.org/officeDocument/2006/relationships/hyperlink" Id="rId90"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2026-03-11T08:46:19Z</dcterms:created>
  <dcterms:modified xsi:type="dcterms:W3CDTF">2026-03-11T08:46:19Z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