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accassible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reimbursment (insurense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organisations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helth status, questionaires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similair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organisations)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similair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allaowed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2026-02-25T05:22:54Z</dcterms:created>
  <dcterms:modified xsi:type="dcterms:W3CDTF">2026-02-25T05:22:54Z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1), (Ludvigsson et al. 2009), (Laugesen et al. 2021)</vt:lpwstr>
  </property>
  <property fmtid="{D5CDD505-2E9C-101B-9397-08002B2CF9AE}" pid="9" name="subtitle">
    <vt:lpwstr>Overwiev of this part of the course</vt:lpwstr>
  </property>
  <property fmtid="{D5CDD505-2E9C-101B-9397-08002B2CF9AE}" pid="10" name="toc-title">
    <vt:lpwstr>Table of contents</vt:lpwstr>
  </property>
</Properties>
</file>