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recognise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increasonly frusrating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abowe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retreived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encodings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2026-02-25T05:22:24Z</dcterms:created>
  <dcterms:modified xsi:type="dcterms:W3CDTF">2026-02-25T05:22:24Z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(Baker 2016), (Oliveira Andrade 2025), (Kavianpour et al. 2022), (Peng and Hicks 2021)</vt:lpwstr>
  </property>
  <property fmtid="{D5CDD505-2E9C-101B-9397-08002B2CF9AE}" pid="10" name="subtitle">
    <vt:lpwstr>{targets} and safe environments</vt:lpwstr>
  </property>
  <property fmtid="{D5CDD505-2E9C-101B-9397-08002B2CF9AE}" pid="11" name="toc-title">
    <vt:lpwstr>Table of contents</vt:lpwstr>
  </property>
</Properties>
</file>