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2026-03-11T09:55:56Z</dcterms:created>
  <dcterms:modified xsi:type="dcterms:W3CDTF">2026-03-11T09:55:56Z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(Vukovic et al. 2022), (Nguyen 2022, ch. 4)</vt:lpwstr>
  </property>
  <property fmtid="{D5CDD505-2E9C-101B-9397-08002B2CF9AE}" pid="10" name="subtitle">
    <vt:lpwstr>GDPR, EHDS and DA</vt:lpwstr>
  </property>
  <property fmtid="{D5CDD505-2E9C-101B-9397-08002B2CF9AE}" pid="11" name="toc-title">
    <vt:lpwstr>Table of contents</vt:lpwstr>
  </property>
</Properties>
</file>