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2026-03-10T12:05:34Z</dcterms:created>
  <dcterms:modified xsi:type="dcterms:W3CDTF">2026-03-10T12:05:34Z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(Vukovic et al. 2022), (Nguyen 2022, ch. 4)</vt:lpwstr>
  </property>
  <property fmtid="{D5CDD505-2E9C-101B-9397-08002B2CF9AE}" pid="10" name="subtitle">
    <vt:lpwstr>GDPR, EHDS and DA</vt:lpwstr>
  </property>
  <property fmtid="{D5CDD505-2E9C-101B-9397-08002B2CF9AE}" pid="11" name="toc-title">
    <vt:lpwstr>Table of contents</vt:lpwstr>
  </property>
</Properties>
</file>