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73.png" ContentType="image/png"/>
  <Override PartName="/word/media/rId95.png" ContentType="image/png"/>
  <Override PartName="/word/media/rId99.png" ContentType="image/png"/>
  <Override PartName="/word/media/rId110.png" ContentType="image/png"/>
  <Override PartName="/word/media/rId85.png" ContentType="image/png"/>
  <Override PartName="/word/media/rId58.png" ContentType="image/png"/>
  <Override PartName="/word/media/rId107.png" ContentType="image/png"/>
  <Override PartName="/word/media/rId34.png" ContentType="image/png"/>
  <Override PartName="/word/media/rId37.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{targets} and safe environments</w:t>
      </w:r>
    </w:p>
    <w:p>
      <w:pPr>
        <w:pStyle w:val="Date"/>
      </w:pPr>
      <w:r>
        <w:t xml:space="preserve">2026-02-25</w:t>
      </w:r>
    </w:p>
    <w:bookmarkStart w:id="26"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(you do not need to install Docker for this course, just be aware of the concept)</w:t>
      </w:r>
    </w:p>
    <w:p>
      <w:pPr>
        <w:pStyle w:val="Compact"/>
        <w:numPr>
          <w:ilvl w:val="0"/>
          <w:numId w:val="1001"/>
        </w:numPr>
      </w:pPr>
      <w:r>
        <w:t xml:space="preserve">Kavianpour et al. (2022)</w:t>
      </w:r>
      <w:r>
        <w:t xml:space="preserve"> </w:t>
      </w:r>
      <w:r>
        <w:t xml:space="preserve">introduces Trusted Research Environment as well as some perceived challenges with those (we will not use such environments in the course but this is likely the reality you need to cope with later on in your career, so you should get familiar with the concept).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w:t>
            </w:r>
            <w:r>
              <w:t xml:space="preserve"> </w:t>
            </w:r>
            <w:r>
              <w:t xml:space="preserve">Baker (2016)</w:t>
            </w:r>
            <w:r>
              <w:t xml:space="preserve"> </w:t>
            </w:r>
            <w:r>
              <w:t xml:space="preserve">and</w:t>
            </w:r>
            <w:r>
              <w:t xml:space="preserve"> </w:t>
            </w:r>
            <w:r>
              <w:t xml:space="preserve">Oliveira Andrade (2025)</w:t>
            </w:r>
            <w:r>
              <w:t xml:space="preserve"> </w:t>
            </w:r>
            <w:r>
              <w:t xml:space="preserv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p>
      <w:pPr>
        <w:numPr>
          <w:ilvl w:val="0"/>
          <w:numId w:val="1003"/>
        </w:numPr>
      </w:pPr>
      <w:r>
        <w:t xml:space="preserve">You read briefly about Docker in the mandatory reading. If this seems interesting, you might read:</w:t>
      </w:r>
      <w:r>
        <w:t xml:space="preserve"> </w:t>
      </w:r>
      <w:hyperlink r:id="rId25">
        <w:r>
          <w:rPr>
            <w:rStyle w:val="Hyperlink"/>
          </w:rPr>
          <w:t xml:space="preserve">An Introduction to Rocker: Docker Containers for R</w:t>
        </w:r>
      </w:hyperlink>
      <w:r>
        <w:t xml:space="preserve"> </w:t>
      </w:r>
      <w:r>
        <w:t xml:space="preserve">(not mandatory).</w:t>
      </w:r>
    </w:p>
    <w:bookmarkEnd w:id="26"/>
    <w:bookmarkStart w:id="32"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7">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8">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recognize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bookmarkEnd w:id="32"/>
    <w:bookmarkStart w:id="33" w:name="motivational-quotes"/>
    <w:p>
      <w:pPr>
        <w:pStyle w:val="Heading2"/>
      </w:pPr>
      <w:r>
        <w:t xml:space="preserve">Motivational quotes</w:t>
      </w:r>
    </w:p>
    <w:p>
      <w:pPr>
        <w:pStyle w:val="BlockText"/>
      </w:pPr>
      <w:r>
        <w:t xml:space="preserve">An</w:t>
      </w:r>
      <w:r>
        <w:t xml:space="preserve"> </w:t>
      </w:r>
      <w:r>
        <w:rPr>
          <w:b/>
          <w:bCs/>
        </w:rPr>
        <w:t xml:space="preserve">article</w:t>
      </w:r>
      <w:r>
        <w:t xml:space="preserve"> </w:t>
      </w:r>
      <w:r>
        <w:t xml:space="preserve">about computational science in a scientific publication is not the scholarship itself, it is</w:t>
      </w:r>
      <w:r>
        <w:t xml:space="preserve"> </w:t>
      </w:r>
      <w:r>
        <w:rPr>
          <w:b/>
          <w:bCs/>
        </w:rPr>
        <w:t xml:space="preserve">merely advertising of the scholarship</w:t>
      </w:r>
      <w:r>
        <w:t xml:space="preserve">. The</w:t>
      </w:r>
      <w:r>
        <w:t xml:space="preserve"> </w:t>
      </w:r>
      <w:r>
        <w:rPr>
          <w:b/>
          <w:bCs/>
        </w:rPr>
        <w:t xml:space="preserve">actual scholarship</w:t>
      </w:r>
      <w:r>
        <w:t xml:space="preserve"> </w:t>
      </w:r>
      <w:r>
        <w:t xml:space="preserve">is the</w:t>
      </w:r>
      <w:r>
        <w:t xml:space="preserve"> </w:t>
      </w:r>
      <w:r>
        <w:rPr>
          <w:b/>
          <w:bCs/>
        </w:rPr>
        <w:t xml:space="preserve">complete software development environment and the complete set of instructions</w:t>
      </w:r>
      <w:r>
        <w:t xml:space="preserve"> </w:t>
      </w:r>
      <w:r>
        <w:t xml:space="preserve">which generated the figures. / Buckheit &amp; Donoho</w:t>
      </w:r>
    </w:p>
    <w:p>
      <w:pPr>
        <w:pStyle w:val="BlockText"/>
      </w:pPr>
      <w:r>
        <w:t xml:space="preserve">[It is important to have] a clear understanding of how data analysis was conducted when critical life and death decisions must be made. / Peng et al. 2021</w:t>
      </w:r>
    </w:p>
    <w:bookmarkEnd w:id="33"/>
    <w:bookmarkStart w:id="70"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40"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r>
        <w:pict>
          <v:rect style="width:0;height:1.5pt" o:hralign="center" o:hrstd="t" o:hr="t"/>
        </w:pict>
      </w:r>
    </w:p>
    <w:p>
      <w:pPr>
        <w:pStyle w:val="FirstParagraph"/>
      </w:pPr>
      <w:r>
        <w:drawing>
          <wp:inline>
            <wp:extent cx="5334000" cy="4858789"/>
            <wp:effectExtent b="0" l="0" r="0" t="0"/>
            <wp:docPr descr="" title="" id="35" name="Picture"/>
            <a:graphic>
              <a:graphicData uri="http://schemas.openxmlformats.org/drawingml/2006/picture">
                <pic:pic>
                  <pic:nvPicPr>
                    <pic:cNvPr descr="images/paste-7.png" id="36" name="Picture"/>
                    <pic:cNvPicPr>
                      <a:picLocks noChangeArrowheads="1" noChangeAspect="1"/>
                    </pic:cNvPicPr>
                  </pic:nvPicPr>
                  <pic:blipFill>
                    <a:blip r:embed="rId34"/>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8" name="Picture"/>
            <a:graphic>
              <a:graphicData uri="http://schemas.openxmlformats.org/drawingml/2006/picture">
                <pic:pic>
                  <pic:nvPicPr>
                    <pic:cNvPr descr="images/paste-8.png" id="39" name="Picture"/>
                    <pic:cNvPicPr>
                      <a:picLocks noChangeArrowheads="1" noChangeAspect="1"/>
                    </pic:cNvPicPr>
                  </pic:nvPicPr>
                  <pic:blipFill>
                    <a:blip r:embed="rId37"/>
                    <a:stretch>
                      <a:fillRect/>
                    </a:stretch>
                  </pic:blipFill>
                  <pic:spPr bwMode="auto">
                    <a:xfrm>
                      <a:off x="0" y="0"/>
                      <a:ext cx="5334000" cy="2990831"/>
                    </a:xfrm>
                    <a:prstGeom prst="rect">
                      <a:avLst/>
                    </a:prstGeom>
                    <a:noFill/>
                    <a:ln w="9525">
                      <a:noFill/>
                      <a:headEnd/>
                      <a:tailEnd/>
                    </a:ln>
                  </pic:spPr>
                </pic:pic>
              </a:graphicData>
            </a:graphic>
          </wp:inline>
        </w:drawing>
      </w:r>
    </w:p>
    <w:bookmarkEnd w:id="40"/>
    <w:bookmarkStart w:id="41"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41"/>
    <w:bookmarkStart w:id="44"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Pipe operator</w:t>
            </w:r>
          </w:p>
        </w:tc>
      </w:tr>
      <w:tr>
        <w:trPr>
          <w:cantSplit/>
        </w:trPr>
        <w:tc>
          <w:tcPr>
            <w:tcMar>
              <w:top w:w="108" w:type="dxa"/>
              <w:bottom w:w="108" w:type="dxa"/>
            </w:tcMar>
          </w:tcPr>
          <w:p>
            <w:pPr>
              <w:pStyle w:val="BodyText"/>
            </w:pPr>
            <w:pPr>
              <w:spacing w:before="16" w:after="16"/>
            </w:pPr>
            <w:r>
              <w:t xml:space="preserve">The simplest example of pipelines might be when you combine R code by the pipe operator (</w:t>
            </w:r>
            <w:r>
              <w:rPr>
                <w:rStyle w:val="VerbatimChar"/>
              </w:rPr>
              <w:t xml:space="preserve">|&gt;</w:t>
            </w:r>
            <w:r>
              <w:t xml:space="preserve"> </w:t>
            </w:r>
            <w:r>
              <w:t xml:space="preserve">or</w:t>
            </w:r>
            <w:r>
              <w:t xml:space="preserve"> </w:t>
            </w:r>
            <w:r>
              <w:rPr>
                <w:rStyle w:val="VerbatimChar"/>
              </w:rPr>
              <w:t xml:space="preserve">%&gt;%</w:t>
            </w:r>
            <w:r>
              <w:t xml:space="preserve">), which in turn is inspired by the pipe operator in Unix (</w:t>
            </w:r>
            <w:r>
              <w:rPr>
                <w:rStyle w:val="VerbatimChar"/>
              </w:rPr>
              <w:t xml:space="preserve">|</w:t>
            </w:r>
            <w:r>
              <w:t xml:space="preserve">).</w:t>
            </w:r>
          </w:p>
          <w:p/>
        </w:tc>
      </w:tr>
    </w:tbl>
    <w:bookmarkEnd w:id="44"/>
    <w:bookmarkStart w:id="45"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 long file or a bunch of files which you execute in order</w:t>
      </w:r>
    </w:p>
    <w:p>
      <w:pPr>
        <w:pStyle w:val="Compact"/>
        <w:numPr>
          <w:ilvl w:val="0"/>
          <w:numId w:val="1007"/>
        </w:numPr>
      </w:pPr>
      <w:r>
        <w:t xml:space="preserve">It takes two weeks to run all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5"/>
    <w:bookmarkStart w:id="48"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session</w:t>
      </w:r>
    </w:p>
    <w:p>
      <w:pPr>
        <w:pStyle w:val="Compact"/>
        <w:numPr>
          <w:ilvl w:val="0"/>
          <w:numId w:val="1009"/>
        </w:numPr>
      </w:pPr>
      <w:r>
        <w:t xml:space="preserve">This is</w:t>
      </w:r>
      <w:r>
        <w:t xml:space="preserve"> </w:t>
      </w:r>
      <w:hyperlink r:id="rId46">
        <w:r>
          <w:rPr>
            <w:rStyle w:val="Hyperlink"/>
          </w:rPr>
          <w:t xml:space="preserve">usually not recommended</w:t>
        </w:r>
      </w:hyperlink>
      <w:r>
        <w:t xml:space="preserve"> </w:t>
      </w:r>
      <w:r>
        <w:t xml:space="preserve">and therefore often disabled in for example RStudio</w:t>
      </w:r>
    </w:p>
    <w:p>
      <w:pPr>
        <w:pStyle w:val="Compact"/>
        <w:numPr>
          <w:ilvl w:val="1"/>
          <w:numId w:val="1010"/>
        </w:numPr>
      </w:pPr>
      <w:r>
        <w:t xml:space="preserve">(If you re-start your session at a later point you might have no idea how the restored objects relates to each other.)</w:t>
      </w:r>
    </w:p>
    <w:p>
      <w:pPr>
        <w:pStyle w:val="Compact"/>
        <w:numPr>
          <w:ilvl w:val="0"/>
          <w:numId w:val="1009"/>
        </w:numPr>
      </w:pPr>
      <w:r>
        <w:t xml:space="preserve">You may still want to execute things in a more step-wise fashion</w:t>
      </w:r>
    </w:p>
    <w:p>
      <w:pPr>
        <w:pStyle w:val="Compact"/>
        <w:numPr>
          <w:ilvl w:val="1"/>
          <w:numId w:val="1011"/>
        </w:numPr>
      </w:pPr>
      <w:r>
        <w:t xml:space="preserve">Convert big data files (</w:t>
      </w:r>
      <w:r>
        <w:rPr>
          <w:rStyle w:val="VerbatimChar"/>
        </w:rPr>
        <w:t xml:space="preserve">.sas7bdat</w:t>
      </w:r>
      <w:r>
        <w:t xml:space="preserve"> </w:t>
      </w:r>
      <w:r>
        <w:t xml:space="preserve">from SAS etc) to something more R-friendly</w:t>
      </w:r>
    </w:p>
    <w:p>
      <w:pPr>
        <w:pStyle w:val="Compact"/>
        <w:numPr>
          <w:ilvl w:val="1"/>
          <w:numId w:val="1011"/>
        </w:numPr>
      </w:pPr>
      <w:r>
        <w:t xml:space="preserve">Perform some data management (select relevant columns and rows), cleaning, add calculated variables etc</w:t>
      </w:r>
    </w:p>
    <w:p>
      <w:pPr>
        <w:pStyle w:val="Compact"/>
        <w:numPr>
          <w:ilvl w:val="1"/>
          <w:numId w:val="1011"/>
        </w:numPr>
      </w:pPr>
      <w:r>
        <w:t xml:space="preserve">Perform some</w:t>
      </w:r>
      <w:r>
        <w:t xml:space="preserve"> </w:t>
      </w:r>
      <w:hyperlink r:id="rId47">
        <w:r>
          <w:rPr>
            <w:rStyle w:val="Hyperlink"/>
          </w:rPr>
          <w:t xml:space="preserve">exploratory data analysis (EDA)</w:t>
        </w:r>
      </w:hyperlink>
      <w:r>
        <w:t xml:space="preserve"> </w:t>
      </w:r>
      <w:r>
        <w:t xml:space="preserve">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8"/>
    <w:bookmarkStart w:id="51"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w:t>
      </w:r>
      <w:r>
        <w:t xml:space="preserve"> </w:t>
      </w:r>
      <w:hyperlink r:id="rId49">
        <w:r>
          <w:rPr>
            <w:rStyle w:val="Hyperlink"/>
          </w:rPr>
          <w:t xml:space="preserve">serialization</w:t>
        </w:r>
      </w:hyperlink>
      <w:r>
        <w:t xml:space="preserve"> </w:t>
      </w:r>
      <w:r>
        <w:t xml:space="preserve">and are nowadays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50">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51"/>
    <w:bookmarkStart w:id="54" w:name="benchmarking"/>
    <w:p>
      <w:pPr>
        <w:pStyle w:val="Heading2"/>
      </w:pPr>
      <w:r>
        <w:t xml:space="preserve">Benchmarking</w:t>
      </w:r>
    </w:p>
    <w:bookmarkStart w:id="52"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rPr>
                <w:b/>
                <w:bCs/>
              </w:rPr>
              <w:t xml:space="preserve">10.5</w:t>
            </w:r>
          </w:p>
        </w:tc>
        <w:tc>
          <w:tcPr/>
          <w:p>
            <w:pPr>
              <w:pStyle w:val="Compact"/>
            </w:pPr>
            <w:r>
              <w:rPr>
                <w:b/>
                <w:bCs/>
              </w:rPr>
              <w:t xml:space="preserve">34.8</w:t>
            </w:r>
          </w:p>
        </w:tc>
      </w:tr>
      <w:tr>
        <w:tc>
          <w:tcPr/>
          <w:p>
            <w:pPr>
              <w:pStyle w:val="Compact"/>
            </w:pPr>
            <w:r>
              <w:t xml:space="preserve">base::serialize</w:t>
            </w:r>
          </w:p>
        </w:tc>
        <w:tc>
          <w:tcPr/>
          <w:p>
            <w:pPr>
              <w:pStyle w:val="Compact"/>
            </w:pPr>
            <w:r>
              <w:t xml:space="preserve">1.1</w:t>
            </w:r>
          </w:p>
        </w:tc>
        <w:tc>
          <w:tcPr/>
          <w:p>
            <w:pPr>
              <w:pStyle w:val="Compact"/>
            </w:pPr>
            <w:r>
              <w:rPr>
                <w:b/>
                <w:bCs/>
              </w:rPr>
              <w:t xml:space="preserve">8.87</w:t>
            </w:r>
          </w:p>
        </w:tc>
        <w:tc>
          <w:tcPr/>
          <w:p>
            <w:pPr>
              <w:pStyle w:val="Compact"/>
            </w:pPr>
            <w:r>
              <w:t xml:space="preserve">51.4</w:t>
            </w:r>
          </w:p>
        </w:tc>
      </w:tr>
      <w:tr>
        <w:tc>
          <w:tcPr/>
          <w:p>
            <w:pPr>
              <w:pStyle w:val="Compact"/>
            </w:pPr>
            <w:r>
              <w:t xml:space="preserve">saveRDS</w:t>
            </w:r>
          </w:p>
        </w:tc>
        <w:tc>
          <w:tcPr/>
          <w:p>
            <w:pPr>
              <w:pStyle w:val="Compact"/>
            </w:pPr>
            <w:r>
              <w:rPr>
                <w:b/>
                <w:bCs/>
              </w:rP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52"/>
    <w:bookmarkStart w:id="53"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rPr>
                <w:b/>
                <w:bCs/>
              </w:rPr>
              <w:t xml:space="preserve">qdata</w:t>
            </w:r>
          </w:p>
        </w:tc>
        <w:tc>
          <w:tcPr/>
          <w:p>
            <w:pPr>
              <w:pStyle w:val="Compact"/>
            </w:pPr>
            <w:r>
              <w:rPr>
                <w:b/>
                <w:bCs/>
              </w:rPr>
              <w:t xml:space="preserve">8.45</w:t>
            </w:r>
          </w:p>
        </w:tc>
        <w:tc>
          <w:tcPr/>
          <w:p>
            <w:pPr>
              <w:pStyle w:val="Compact"/>
            </w:pPr>
            <w:r>
              <w:rPr>
                <w:b/>
                <w:bCs/>
              </w:rPr>
              <w:t xml:space="preserve">1.98</w:t>
            </w:r>
          </w:p>
        </w:tc>
        <w:tc>
          <w:tcPr/>
          <w:p>
            <w:pPr>
              <w:pStyle w:val="Compact"/>
            </w:pPr>
            <w:r>
              <w:rPr>
                <w:b/>
                <w:bCs/>
              </w:rP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53"/>
    <w:bookmarkEnd w:id="54"/>
    <w:bookmarkStart w:id="61" w:name="who-cares"/>
    <w:p>
      <w:pPr>
        <w:pStyle w:val="Heading2"/>
      </w:pPr>
      <w:r>
        <w:t xml:space="preserve">Who cares?</w:t>
      </w:r>
    </w:p>
    <w:p>
      <w:pPr>
        <w:pStyle w:val="Compact"/>
        <w:numPr>
          <w:ilvl w:val="0"/>
          <w:numId w:val="1015"/>
        </w:numPr>
      </w:pPr>
      <w:r>
        <w:t xml:space="preserve">Imagine you work with data for the whole Swedish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w:t>
      </w:r>
      <w:r>
        <w:t xml:space="preserve"> </w:t>
      </w:r>
      <w:hyperlink r:id="rId55">
        <w:r>
          <w:rPr>
            <w:rStyle w:val="Hyperlink"/>
          </w:rPr>
          <w:t xml:space="preserve">secure environment</w:t>
        </w:r>
      </w:hyperlink>
      <w:r>
        <w:t xml:space="preserve"> </w:t>
      </w:r>
      <w:r>
        <w:t xml:space="preserve">were data is stored on a network server (no</w:t>
      </w:r>
      <w:r>
        <w:t xml:space="preserve"> </w:t>
      </w:r>
      <w:hyperlink r:id="rId56">
        <w:r>
          <w:rPr>
            <w:rStyle w:val="Hyperlink"/>
          </w:rPr>
          <w:t xml:space="preserve">SSD drive</w:t>
        </w:r>
      </w:hyperlink>
      <w:r>
        <w:t xml:space="preserve">)</w:t>
      </w:r>
    </w:p>
    <w:p>
      <w:pPr>
        <w:pStyle w:val="Compact"/>
        <w:numPr>
          <w:ilvl w:val="0"/>
          <w:numId w:val="1015"/>
        </w:numPr>
      </w:pPr>
      <w:r>
        <w:t xml:space="preserve">The same environment is shared by 20 other researchers and you are all competing for the same</w:t>
      </w:r>
      <w:r>
        <w:t xml:space="preserve"> </w:t>
      </w:r>
      <w:hyperlink r:id="rId57">
        <w:r>
          <w:rPr>
            <w:rStyle w:val="Hyperlink"/>
          </w:rPr>
          <w:t xml:space="preserve">bandwidth</w:t>
        </w:r>
      </w:hyperlink>
    </w:p>
    <w:p>
      <w:pPr>
        <w:pStyle w:val="Compact"/>
        <w:numPr>
          <w:ilvl w:val="0"/>
          <w:numId w:val="1015"/>
        </w:numPr>
      </w:pPr>
      <w:r>
        <w:t xml:space="preserve">It will get increasingly frustrating just to load and save the big files</w:t>
      </w:r>
    </w:p>
    <w:p>
      <w:pPr>
        <w:pStyle w:val="Compact"/>
        <w:numPr>
          <w:ilvl w:val="0"/>
          <w:numId w:val="1015"/>
        </w:numPr>
      </w:pPr>
      <w:r>
        <w:t xml:space="preserve">You might need to wait for half an hour before you can start working 😩</w:t>
      </w:r>
    </w:p>
    <w:p>
      <w:r>
        <w:pict>
          <v:rect style="width:0;height:1.5pt" o:hralign="center" o:hrstd="t" o:hr="t"/>
        </w:pict>
      </w:r>
    </w:p>
    <w:p>
      <w:pPr>
        <w:pStyle w:val="FirstParagraph"/>
      </w:pPr>
      <w:r>
        <w:drawing>
          <wp:inline>
            <wp:extent cx="5334000" cy="3553777"/>
            <wp:effectExtent b="0" l="0" r="0" t="0"/>
            <wp:docPr descr="" title="" id="59" name="Picture"/>
            <a:graphic>
              <a:graphicData uri="http://schemas.openxmlformats.org/drawingml/2006/picture">
                <pic:pic>
                  <pic:nvPicPr>
                    <pic:cNvPr descr="images/paste-23.png" id="60" name="Picture"/>
                    <pic:cNvPicPr>
                      <a:picLocks noChangeArrowheads="1" noChangeAspect="1"/>
                    </pic:cNvPicPr>
                  </pic:nvPicPr>
                  <pic:blipFill>
                    <a:blip r:embed="rId58"/>
                    <a:stretch>
                      <a:fillRect/>
                    </a:stretch>
                  </pic:blipFill>
                  <pic:spPr bwMode="auto">
                    <a:xfrm>
                      <a:off x="0" y="0"/>
                      <a:ext cx="5334000" cy="3553777"/>
                    </a:xfrm>
                    <a:prstGeom prst="rect">
                      <a:avLst/>
                    </a:prstGeom>
                    <a:noFill/>
                    <a:ln w="9525">
                      <a:noFill/>
                      <a:headEnd/>
                      <a:tailEnd/>
                    </a:ln>
                  </pic:spPr>
                </pic:pic>
              </a:graphicData>
            </a:graphic>
          </wp:inline>
        </w:drawing>
      </w:r>
    </w:p>
    <w:bookmarkEnd w:id="61"/>
    <w:bookmarkStart w:id="63"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w:t>
      </w:r>
      <w:r>
        <w:t xml:space="preserve"> </w:t>
      </w:r>
      <w:hyperlink r:id="rId62">
        <w:r>
          <w:rPr>
            <w:rStyle w:val="Hyperlink"/>
          </w:rPr>
          <w:t xml:space="preserve">Make</w:t>
        </w:r>
      </w:hyperlink>
      <w:r>
        <w:t xml:space="preserve"> </w:t>
      </w:r>
      <w:r>
        <w:t xml:space="preserve">is a build automation tool that automatically determines which parts of a program need to be rebuilt and executes the necessary commands based on rules defined in a Makefile.</w:t>
      </w:r>
    </w:p>
    <w:p>
      <w:pPr>
        <w:pStyle w:val="Compact"/>
        <w:numPr>
          <w:ilvl w:val="0"/>
          <w:numId w:val="1016"/>
        </w:numPr>
      </w:pPr>
      <w:r>
        <w:rPr>
          <w:b/>
          <w:bCs/>
        </w:rPr>
        <w:t xml:space="preserve">Iteration</w:t>
      </w:r>
      <w:r>
        <w:t xml:space="preserve"> </w:t>
      </w:r>
      <w:r>
        <w:t xml:space="preserve">during project development (which is equally relevant for a health data project), will be much</w:t>
      </w:r>
      <w:r>
        <w:t xml:space="preserve"> </w:t>
      </w:r>
      <w:r>
        <w:rPr>
          <w:b/>
          <w:bCs/>
        </w:rPr>
        <w:t xml:space="preserve">faster and reliable</w:t>
      </w:r>
      <w:r>
        <w:t xml:space="preserve">.</w:t>
      </w:r>
    </w:p>
    <w:p>
      <w:pPr>
        <w:pStyle w:val="Compact"/>
        <w:numPr>
          <w:ilvl w:val="0"/>
          <w:numId w:val="1016"/>
        </w:numPr>
      </w:pPr>
      <w:r>
        <w:rPr>
          <w:b/>
          <w:bCs/>
        </w:rPr>
        <w:t xml:space="preserve">Caching</w:t>
      </w:r>
      <w:r>
        <w:t xml:space="preserve"> </w:t>
      </w:r>
      <w:r>
        <w:t xml:space="preserve">as described above is</w:t>
      </w:r>
      <w:r>
        <w:t xml:space="preserve"> </w:t>
      </w:r>
      <w:r>
        <w:rPr>
          <w:b/>
          <w:bCs/>
        </w:rPr>
        <w:t xml:space="preserve">automated</w:t>
      </w:r>
      <w:r>
        <w:t xml:space="preserve"> </w:t>
      </w:r>
      <w:r>
        <w:t xml:space="preserve">and you only need to read/write files to disk/network storage when actually needed.</w:t>
      </w:r>
    </w:p>
    <w:bookmarkEnd w:id="63"/>
    <w:bookmarkStart w:id="69" w:name="alternative-solutions"/>
    <w:p>
      <w:pPr>
        <w:pStyle w:val="Heading2"/>
      </w:pPr>
      <w:r>
        <w:t xml:space="preserve">Alternative solutions</w:t>
      </w:r>
    </w:p>
    <w:p>
      <w:pPr>
        <w:pStyle w:val="Compact"/>
        <w:numPr>
          <w:ilvl w:val="0"/>
          <w:numId w:val="1018"/>
        </w:numPr>
      </w:pPr>
      <w:hyperlink r:id="rId64">
        <w:r>
          <w:rPr>
            <w:rStyle w:val="Hyperlink"/>
          </w:rPr>
          <w:t xml:space="preserve">GNU Make with R</w:t>
        </w:r>
      </w:hyperlink>
    </w:p>
    <w:p>
      <w:pPr>
        <w:pStyle w:val="Compact"/>
        <w:numPr>
          <w:ilvl w:val="0"/>
          <w:numId w:val="1018"/>
        </w:numPr>
      </w:pPr>
      <w:r>
        <w:rPr>
          <w:rStyle w:val="VerbatimChar"/>
        </w:rPr>
        <w:t xml:space="preserve">rmake</w:t>
      </w:r>
      <w:r>
        <w:t xml:space="preserve"> </w:t>
      </w:r>
      <w:r>
        <w:t xml:space="preserve">creates and maintains a build process for complex analytic tasks.</w:t>
      </w:r>
      <w:r>
        <w:t xml:space="preserve"> </w:t>
      </w:r>
      <w:hyperlink r:id="rId65">
        <w:r>
          <w:rPr>
            <w:rStyle w:val="Hyperlink"/>
          </w:rPr>
          <w:t xml:space="preserve">The package</w:t>
        </w:r>
      </w:hyperlink>
      <w:r>
        <w:t xml:space="preserve"> </w:t>
      </w:r>
      <w:r>
        <w:t xml:space="preserve">allows easy generation of a Makefile for the (GNU)</w:t>
      </w:r>
      <w:r>
        <w:t xml:space="preserve"> </w:t>
      </w:r>
      <w:r>
        <w:t xml:space="preserve">‘make’</w:t>
      </w:r>
      <w:r>
        <w:t xml:space="preserve"> </w:t>
      </w:r>
      <w:r>
        <w:t xml:space="preserve">tool</w:t>
      </w:r>
    </w:p>
    <w:p>
      <w:pPr>
        <w:pStyle w:val="Compact"/>
        <w:numPr>
          <w:ilvl w:val="0"/>
          <w:numId w:val="1018"/>
        </w:numPr>
      </w:pPr>
      <w:hyperlink r:id="rId66">
        <w:r>
          <w:rPr>
            <w:rStyle w:val="Hyperlink"/>
          </w:rPr>
          <w:t xml:space="preserve">drake</w:t>
        </w:r>
      </w:hyperlink>
      <w:r>
        <w:t xml:space="preserve"> </w:t>
      </w:r>
      <w:r>
        <w:t xml:space="preserve">was the first more established R-oriented alternative</w:t>
      </w:r>
    </w:p>
    <w:p>
      <w:pPr>
        <w:pStyle w:val="Compact"/>
        <w:numPr>
          <w:ilvl w:val="0"/>
          <w:numId w:val="1018"/>
        </w:numPr>
      </w:pPr>
      <w:hyperlink r:id="rId67">
        <w:r>
          <w:rPr>
            <w:rStyle w:val="Hyperlink"/>
          </w:rPr>
          <w:t xml:space="preserve">targets</w:t>
        </w:r>
      </w:hyperlink>
      <w:r>
        <w:t xml:space="preserve"> </w:t>
      </w:r>
      <w:r>
        <w:t xml:space="preserve">is the currently most developed and used alternative</w:t>
      </w:r>
    </w:p>
    <w:p>
      <w:pPr>
        <w:pStyle w:val="Compact"/>
        <w:numPr>
          <w:ilvl w:val="0"/>
          <w:numId w:val="1018"/>
        </w:numPr>
      </w:pPr>
      <w:hyperlink r:id="rId68">
        <w:r>
          <w:rPr>
            <w:rStyle w:val="Hyperlink"/>
          </w:rPr>
          <w:t xml:space="preserve">rixpress</w:t>
        </w:r>
      </w:hyperlink>
      <w:r>
        <w:t xml:space="preserve"> </w:t>
      </w:r>
      <w:r>
        <w:t xml:space="preserve">might be a rising star (at least if you are combining R and Python; polyglot)?</w:t>
      </w:r>
    </w:p>
    <w:p>
      <w:pPr>
        <w:pStyle w:val="FirstParagraph"/>
      </w:pPr>
      <w:r>
        <w:t xml:space="preserve">We will use</w:t>
      </w:r>
      <w:r>
        <w:t xml:space="preserve"> </w:t>
      </w:r>
      <w:r>
        <w:rPr>
          <w:rStyle w:val="VerbatimChar"/>
        </w:rPr>
        <w:t xml:space="preserve">targets</w:t>
      </w:r>
      <w:r>
        <w:t xml:space="preserve"> </w:t>
      </w:r>
      <w:r>
        <w:t xml:space="preserve">in this course!</w:t>
      </w:r>
    </w:p>
    <w:bookmarkEnd w:id="69"/>
    <w:bookmarkEnd w:id="70"/>
    <w:bookmarkStart w:id="90" w:name="targets"/>
    <w:p>
      <w:pPr>
        <w:pStyle w:val="Heading1"/>
      </w:pPr>
      <w:r>
        <w:t xml:space="preserve">targets</w:t>
      </w:r>
    </w:p>
    <w:p>
      <w:pPr>
        <w:numPr>
          <w:ilvl w:val="0"/>
          <w:numId w:val="1019"/>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9"/>
        </w:numPr>
      </w:pPr>
      <w:r>
        <w:t xml:space="preserve">The package skips costly runtime for tasks that are already up to date, orchestrates the necessary computation with implicit parallel computing, and abstracts files as R objects.</w:t>
      </w:r>
    </w:p>
    <w:p>
      <w:pPr>
        <w:numPr>
          <w:ilvl w:val="0"/>
          <w:numId w:val="1019"/>
        </w:numPr>
      </w:pPr>
      <w:r>
        <w:t xml:space="preserve">If all the current output matches the current upstream code and data, then the whole pipeline is up to date, and the results are more trustworthy than otherwise.</w:t>
      </w:r>
    </w:p>
    <w:p>
      <w:pPr>
        <w:numPr>
          <w:ilvl w:val="0"/>
          <w:numId w:val="1019"/>
        </w:numPr>
      </w:pPr>
      <w:r>
        <w:t xml:space="preserve">The tasks themselves are called</w:t>
      </w:r>
      <w:r>
        <w:t xml:space="preserve"> </w:t>
      </w:r>
      <w:r>
        <w:t xml:space="preserve">“targets”</w:t>
      </w:r>
      <w:r>
        <w:t xml:space="preserve">, and they run the functions and return R objects.</w:t>
      </w:r>
    </w:p>
    <w:p>
      <w:pPr>
        <w:numPr>
          <w:ilvl w:val="0"/>
          <w:numId w:val="1019"/>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(well … hopefully relatively so …), and reproducible.</w:t>
      </w:r>
    </w:p>
    <w:bookmarkStart w:id="7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w:t>
      </w:r>
      <w:r>
        <w:t xml:space="preserve"> </w:t>
      </w:r>
      <w:r>
        <w:rPr>
          <w:b/>
          <w:bCs/>
        </w:rPr>
        <w:t xml:space="preserve">health and nutrition surveys</w:t>
      </w:r>
      <w:r>
        <w:t xml:space="preserve"> </w:t>
      </w:r>
      <w:r>
        <w:t xml:space="preserve">since the early 1960’s. Since 1999 approximately</w:t>
      </w:r>
      <w:r>
        <w:t xml:space="preserve"> </w:t>
      </w:r>
      <w:r>
        <w:rPr>
          <w:b/>
          <w:bCs/>
        </w:rPr>
        <w:t xml:space="preserve">5,000 individuals of all ages</w:t>
      </w:r>
      <w:r>
        <w:t xml:space="preserve"> </w:t>
      </w:r>
      <w:r>
        <w:t xml:space="preserve">are</w:t>
      </w:r>
      <w:r>
        <w:t xml:space="preserve"> </w:t>
      </w:r>
      <w:r>
        <w:rPr>
          <w:b/>
          <w:bCs/>
        </w:rPr>
        <w:t xml:space="preserve">interviewed</w:t>
      </w:r>
      <w:r>
        <w:t xml:space="preserve"> </w:t>
      </w:r>
      <w:r>
        <w:t xml:space="preserve">in their homes every year and complete the h</w:t>
      </w:r>
      <w:r>
        <w:rPr>
          <w:b/>
          <w:bCs/>
        </w:rPr>
        <w:t xml:space="preserve">ealth examination</w:t>
      </w:r>
      <w:r>
        <w:t xml:space="preserve"> </w:t>
      </w:r>
      <w:r>
        <w:t xml:space="preserve">component of the survey.</w:t>
      </w:r>
    </w:p>
    <w:p>
      <w:pPr>
        <w:pStyle w:val="BodyText"/>
      </w:pPr>
      <w:r>
        <w:rPr>
          <w:b/>
          <w:bCs/>
        </w:rPr>
        <w:t xml:space="preserve">Question:</w:t>
      </w:r>
      <w:r>
        <w:t xml:space="preserve"> </w:t>
      </w:r>
      <w:r>
        <w:t xml:space="preserve">Is there any association between</w:t>
      </w:r>
      <w:r>
        <w:t xml:space="preserve"> </w:t>
      </w:r>
      <w:r>
        <w:rPr>
          <w:rStyle w:val="VerbatimChar"/>
        </w:rPr>
        <w:t xml:space="preserve">Gender</w:t>
      </w:r>
      <w:r>
        <w:t xml:space="preserve"> </w:t>
      </w:r>
      <w:r>
        <w:t xml:space="preserve">and</w:t>
      </w:r>
      <w:r>
        <w:t xml:space="preserve"> </w:t>
      </w:r>
      <w:r>
        <w:rPr>
          <w:rStyle w:val="VerbatimChar"/>
        </w:rPr>
        <w:t xml:space="preserve">BMI</w:t>
      </w:r>
      <w:r>
        <w:t xml:space="preserve">?</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71"/>
    <w:bookmarkStart w:id="7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20"/>
        </w:numPr>
      </w:pPr>
      <w:r>
        <w:t xml:space="preserve">You must run the script in order (but might not always do that during the initial</w:t>
      </w:r>
      <w:r>
        <w:t xml:space="preserve"> </w:t>
      </w:r>
      <w:r>
        <w:t xml:space="preserve">“trial and error”</w:t>
      </w:r>
      <w:r>
        <w:t xml:space="preserve"> </w:t>
      </w:r>
      <w:r>
        <w:t xml:space="preserve">process … if so, confusion will later arise)!</w:t>
      </w:r>
    </w:p>
    <w:p>
      <w:pPr>
        <w:numPr>
          <w:ilvl w:val="0"/>
          <w:numId w:val="1020"/>
        </w:numPr>
      </w:pPr>
      <w:r>
        <w:t xml:space="preserve">objects</w:t>
      </w:r>
      <w:r>
        <w:t xml:space="preserve"> </w:t>
      </w:r>
      <w:r>
        <w:rPr>
          <w:rStyle w:val="VerbatimChar"/>
        </w:rPr>
        <w:t xml:space="preserve">df</w:t>
      </w:r>
      <w:r>
        <w:t xml:space="preserve">,</w:t>
      </w:r>
      <w:r>
        <w:t xml:space="preserve"> </w:t>
      </w:r>
      <w:r>
        <w:rPr>
          <w:rStyle w:val="VerbatimChar"/>
        </w:rPr>
        <w:t xml:space="preserve">tbl</w:t>
      </w:r>
      <w:r>
        <w:t xml:space="preserve"> </w:t>
      </w:r>
      <w:r>
        <w:t xml:space="preserve">and</w:t>
      </w:r>
      <w:r>
        <w:t xml:space="preserve"> </w:t>
      </w:r>
      <w:r>
        <w:rPr>
          <w:rStyle w:val="VerbatimChar"/>
        </w:rPr>
        <w:t xml:space="preserve">tst</w:t>
      </w:r>
      <w:r>
        <w:t xml:space="preserve"> </w:t>
      </w:r>
      <w:r>
        <w:t xml:space="preserve">only lives in the active session</w:t>
      </w:r>
    </w:p>
    <w:p>
      <w:pPr>
        <w:numPr>
          <w:ilvl w:val="1"/>
          <w:numId w:val="1021"/>
        </w:numPr>
      </w:pPr>
      <w:r>
        <w:t xml:space="preserve">No problem in this example</w:t>
      </w:r>
    </w:p>
    <w:p>
      <w:pPr>
        <w:numPr>
          <w:ilvl w:val="1"/>
          <w:numId w:val="1021"/>
        </w:numPr>
      </w:pPr>
      <w:r>
        <w:t xml:space="preserve">but working with big and complex data might introduce long-running processes =&gt; time consuming!</w:t>
      </w:r>
    </w:p>
    <w:bookmarkEnd w:id="72"/>
    <w:bookmarkStart w:id="78"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74" name="Picture"/>
            <a:graphic>
              <a:graphicData uri="http://schemas.openxmlformats.org/drawingml/2006/picture">
                <pic:pic>
                  <pic:nvPicPr>
                    <pic:cNvPr descr="EL5_files/figure-docx/unnamed-chunk-3-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and R output</w:t>
            </w:r>
          </w:p>
        </w:tc>
      </w:tr>
      <w:tr>
        <w:trPr>
          <w:cantSplit/>
        </w:trPr>
        <w:tc>
          <w:tcPr>
            <w:tcMar>
              <w:top w:w="108" w:type="dxa"/>
              <w:bottom w:w="108" w:type="dxa"/>
            </w:tcMar>
          </w:tcPr>
          <w:p>
            <w:pPr>
              <w:pStyle w:val="BodyText"/>
            </w:pPr>
            <w:pPr>
              <w:spacing w:before="16" w:after="16"/>
            </w:pPr>
            <w:r>
              <w:t xml:space="preserve">You should see a figure and some R output on this slide. I just notice it doesn’t show on my phone when viewing the slides, so if you don’t see it, you might try another browser etc (it seems to render correct in the handouts however).</w:t>
            </w:r>
          </w:p>
          <w:p/>
        </w:tc>
      </w:tr>
    </w:tbl>
    <w:bookmarkEnd w:id="78"/>
    <w:bookmarkStart w:id="79" w:name="pipeline-1"/>
    <w:p>
      <w:pPr>
        <w:pStyle w:val="Heading2"/>
      </w:pPr>
      <w:r>
        <w:t xml:space="preserve">Pipeline</w:t>
      </w:r>
    </w:p>
    <w:p>
      <w:pPr>
        <w:pStyle w:val="Compact"/>
        <w:numPr>
          <w:ilvl w:val="0"/>
          <w:numId w:val="1022"/>
        </w:numPr>
      </w:pPr>
      <w:r>
        <w:t xml:space="preserve">Define steps in your analysis as targets</w:t>
      </w:r>
    </w:p>
    <w:p>
      <w:pPr>
        <w:pStyle w:val="Compact"/>
        <w:numPr>
          <w:ilvl w:val="0"/>
          <w:numId w:val="1022"/>
        </w:numPr>
      </w:pPr>
      <w:r>
        <w:t xml:space="preserve">Define dependencies between targets</w:t>
      </w:r>
    </w:p>
    <w:p>
      <w:pPr>
        <w:pStyle w:val="Compact"/>
        <w:numPr>
          <w:ilvl w:val="0"/>
          <w:numId w:val="1022"/>
        </w:numPr>
      </w:pPr>
      <w:r>
        <w:t xml:space="preserve">Automatically track changes and rerun only necessary parts</w:t>
      </w:r>
    </w:p>
    <w:p>
      <w:r>
        <w:pict>
          <v:rect style="width:0;height:1.5pt" o:hralign="center" o:hrstd="t" o:hr="t"/>
        </w:pict>
      </w:r>
    </w:p>
    <w:bookmarkEnd w:id="79"/>
    <w:bookmarkStart w:id="80" w:name="why"/>
    <w:p>
      <w:pPr>
        <w:pStyle w:val="Heading2"/>
      </w:pPr>
      <w:r>
        <w:t xml:space="preserve">Why?</w:t>
      </w:r>
    </w:p>
    <w:p>
      <w:pPr>
        <w:pStyle w:val="Compact"/>
        <w:numPr>
          <w:ilvl w:val="0"/>
          <w:numId w:val="1023"/>
        </w:numPr>
      </w:pPr>
      <w:r>
        <w:t xml:space="preserve">You do not want to rerun everything all the time!</w:t>
      </w:r>
    </w:p>
    <w:p>
      <w:pPr>
        <w:pStyle w:val="Compact"/>
        <w:numPr>
          <w:ilvl w:val="0"/>
          <w:numId w:val="1023"/>
        </w:numPr>
      </w:pPr>
      <w:r>
        <w:t xml:space="preserve">You want to keep track of what you have done</w:t>
      </w:r>
    </w:p>
    <w:p>
      <w:pPr>
        <w:pStyle w:val="Compact"/>
        <w:numPr>
          <w:ilvl w:val="0"/>
          <w:numId w:val="1023"/>
        </w:numPr>
      </w:pPr>
      <w:r>
        <w:t xml:space="preserve">You want to be able to reproduce your results later</w:t>
      </w:r>
    </w:p>
    <w:p>
      <w:pPr>
        <w:pStyle w:val="Compact"/>
        <w:numPr>
          <w:ilvl w:val="0"/>
          <w:numId w:val="1023"/>
        </w:numPr>
      </w:pPr>
      <w:r>
        <w:t xml:space="preserve">You want to share your workflow with others</w:t>
      </w:r>
    </w:p>
    <w:bookmarkEnd w:id="80"/>
    <w:bookmarkStart w:id="81"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81"/>
    <w:bookmarkStart w:id="82"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2"/>
    <w:bookmarkStart w:id="83"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functions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CommentTok"/>
        </w:rPr>
        <w:t xml:space="preserve"># </w:t>
      </w:r>
      <w:r>
        <w:rPr>
          <w:rStyle w:val="AlertTok"/>
        </w:rPr>
        <w:t xml:space="preserve">NOTE</w:t>
      </w:r>
      <w:r>
        <w:rPr>
          <w:rStyle w:val="CommentTok"/>
        </w:rPr>
        <w:t xml:space="preserve">! They will not be available in the interactive R-session</w:t>
      </w:r>
      <w:r>
        <w:br/>
      </w:r>
      <w:r>
        <w:rPr>
          <w:rStyle w:val="NormalTok"/>
        </w:rPr>
        <w:t xml:space="preserve">  </w:t>
      </w:r>
      <w:r>
        <w:rPr>
          <w:rStyle w:val="CommentTok"/>
        </w:rPr>
        <w:t xml:space="preserve"># so you might load them above as well to avoid confusion</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which is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3"/>
    <w:bookmarkStart w:id="84" w:name="benefits"/>
    <w:p>
      <w:pPr>
        <w:pStyle w:val="Heading2"/>
      </w:pPr>
      <w:r>
        <w:t xml:space="preserve">Benefits</w:t>
      </w:r>
    </w:p>
    <w:p>
      <w:pPr>
        <w:pStyle w:val="Compact"/>
        <w:numPr>
          <w:ilvl w:val="0"/>
          <w:numId w:val="1024"/>
        </w:numPr>
      </w:pPr>
      <w:r>
        <w:t xml:space="preserve">execute the whole project by</w:t>
      </w:r>
      <w:r>
        <w:t xml:space="preserve"> </w:t>
      </w:r>
      <w:r>
        <w:rPr>
          <w:rStyle w:val="VerbatimChar"/>
        </w:rPr>
        <w:t xml:space="preserve">tar_make()</w:t>
      </w:r>
    </w:p>
    <w:p>
      <w:pPr>
        <w:pStyle w:val="Compact"/>
        <w:numPr>
          <w:ilvl w:val="0"/>
          <w:numId w:val="1024"/>
        </w:numPr>
      </w:pPr>
      <w:r>
        <w:t xml:space="preserve">intermediate steps are cached and cached objects retrieved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4"/>
        </w:numPr>
      </w:pPr>
      <w:r>
        <w:t xml:space="preserve">dependency among individual steps can be visualized:</w:t>
      </w:r>
      <w:r>
        <w:t xml:space="preserve"> </w:t>
      </w:r>
      <w:r>
        <w:rPr>
          <w:rStyle w:val="VerbatimChar"/>
        </w:rPr>
        <w:t xml:space="preserve">tar_visnetwork()</w:t>
      </w:r>
    </w:p>
    <w:bookmarkEnd w:id="84"/>
    <w:bookmarkStart w:id="88" w:name="dependency-graph"/>
    <w:p>
      <w:pPr>
        <w:pStyle w:val="Heading2"/>
      </w:pPr>
      <w:r>
        <w:t xml:space="preserve">Dependency graph</w:t>
      </w:r>
    </w:p>
    <w:p>
      <w:pPr>
        <w:pStyle w:val="FirstParagraph"/>
      </w:pPr>
      <w:r>
        <w:drawing>
          <wp:inline>
            <wp:extent cx="5334000" cy="4000499"/>
            <wp:effectExtent b="0" l="0" r="0" t="0"/>
            <wp:docPr descr="" title="" id="86" name="Picture"/>
            <a:graphic>
              <a:graphicData uri="http://schemas.openxmlformats.org/drawingml/2006/picture">
                <pic:pic>
                  <pic:nvPicPr>
                    <pic:cNvPr descr="images/paste-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bookmarkEnd w:id="88"/>
    <w:bookmarkStart w:id="89"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89"/>
    <w:bookmarkEnd w:id="90"/>
    <w:bookmarkStart w:id="103" w:name="r-versions"/>
    <w:p>
      <w:pPr>
        <w:pStyle w:val="Heading1"/>
      </w:pPr>
      <w:r>
        <w:t xml:space="preserve">R-versions</w:t>
      </w:r>
    </w:p>
    <w:p>
      <w:pPr>
        <w:pStyle w:val="Compact"/>
        <w:numPr>
          <w:ilvl w:val="0"/>
          <w:numId w:val="1025"/>
        </w:numPr>
      </w:pPr>
      <w:r>
        <w:t xml:space="preserve">Imagine you</w:t>
      </w:r>
      <w:r>
        <w:t xml:space="preserve"> </w:t>
      </w:r>
      <w:r>
        <w:rPr>
          <w:b/>
          <w:bCs/>
        </w:rPr>
        <w:t xml:space="preserve">finish</w:t>
      </w:r>
      <w:r>
        <w:t xml:space="preserve"> </w:t>
      </w:r>
      <w:r>
        <w:t xml:space="preserve">your research project and you submit a manuscript to a journal</w:t>
      </w:r>
    </w:p>
    <w:p>
      <w:pPr>
        <w:pStyle w:val="Compact"/>
        <w:numPr>
          <w:ilvl w:val="0"/>
          <w:numId w:val="1025"/>
        </w:numPr>
      </w:pPr>
      <w:r>
        <w:t xml:space="preserve">The journal comes back</w:t>
      </w:r>
      <w:r>
        <w:t xml:space="preserve"> </w:t>
      </w:r>
      <w:r>
        <w:rPr>
          <w:b/>
          <w:bCs/>
        </w:rPr>
        <w:t xml:space="preserve">one year later</w:t>
      </w:r>
      <w:r>
        <w:t xml:space="preserve"> </w:t>
      </w:r>
      <w:r>
        <w:t xml:space="preserve">(they didn’t have time until know) and one reviewer ask you to double check some steps of the analysis</w:t>
      </w:r>
    </w:p>
    <w:p>
      <w:pPr>
        <w:pStyle w:val="Compact"/>
        <w:numPr>
          <w:ilvl w:val="0"/>
          <w:numId w:val="1025"/>
        </w:numPr>
      </w:pPr>
      <w:r>
        <w:t xml:space="preserve">You make some modifications and rerun your pipelines.</w:t>
      </w:r>
    </w:p>
    <w:p>
      <w:pPr>
        <w:pStyle w:val="Compact"/>
        <w:numPr>
          <w:ilvl w:val="0"/>
          <w:numId w:val="1025"/>
        </w:numPr>
      </w:pPr>
      <w:r>
        <w:t xml:space="preserve">But it doesn’t work!</w:t>
      </w:r>
    </w:p>
    <w:p>
      <w:pPr>
        <w:pStyle w:val="Compact"/>
        <w:numPr>
          <w:ilvl w:val="0"/>
          <w:numId w:val="1025"/>
        </w:numPr>
      </w:pPr>
      <w:r>
        <w:rPr>
          <w:b/>
          <w:bCs/>
        </w:rPr>
        <w:t xml:space="preserve">Half a year ago</w:t>
      </w:r>
      <w:r>
        <w:t xml:space="preserve"> </w:t>
      </w:r>
      <w:r>
        <w:t xml:space="preserve">you updated your R installation and a</w:t>
      </w:r>
      <w:r>
        <w:t xml:space="preserve"> </w:t>
      </w:r>
      <w:r>
        <w:rPr>
          <w:b/>
          <w:bCs/>
        </w:rPr>
        <w:t xml:space="preserve">week ago</w:t>
      </w:r>
      <w:r>
        <w:t xml:space="preserve"> </w:t>
      </w:r>
      <w:r>
        <w:t xml:space="preserve">all of your installed packages.</w:t>
      </w:r>
    </w:p>
    <w:p>
      <w:pPr>
        <w:pStyle w:val="Compact"/>
        <w:numPr>
          <w:ilvl w:val="1"/>
          <w:numId w:val="1026"/>
        </w:numPr>
      </w:pPr>
      <w:r>
        <w:t xml:space="preserve">One package was retired from CRAN (could happen even though there was nothing wrong with the package when you used it … maybe the maintainer just didn’t have time or energy to keep maintaining it)</w:t>
      </w:r>
    </w:p>
    <w:p>
      <w:pPr>
        <w:pStyle w:val="Compact"/>
        <w:numPr>
          <w:ilvl w:val="1"/>
          <w:numId w:val="1026"/>
        </w:numPr>
      </w:pPr>
      <w:r>
        <w:t xml:space="preserve">One package has deprecated one of the functions you previously used</w:t>
      </w:r>
    </w:p>
    <w:p>
      <w:pPr>
        <w:pStyle w:val="Compact"/>
        <w:numPr>
          <w:ilvl w:val="1"/>
          <w:numId w:val="1026"/>
        </w:numPr>
      </w:pPr>
      <w:r>
        <w:t xml:space="preserve">On package has redesigned the output format from a specific function you used</w:t>
      </w:r>
    </w:p>
    <w:p>
      <w:pPr>
        <w:pStyle w:val="Compact"/>
        <w:numPr>
          <w:ilvl w:val="0"/>
          <w:numId w:val="1025"/>
        </w:numPr>
      </w:pPr>
      <w:r>
        <w:t xml:space="preserve">😱</w:t>
      </w:r>
    </w:p>
    <w:p>
      <w:r>
        <w:pict>
          <v:rect style="width:0;height:1.5pt" o:hralign="center" o:hrstd="t" o:hr="t"/>
        </w:pict>
      </w:r>
    </w:p>
    <w:p>
      <w:pPr>
        <w:pStyle w:val="FirstParagraph"/>
      </w:pPr>
      <w:r>
        <w:drawing>
          <wp:inline>
            <wp:extent cx="5334000" cy="4337129"/>
            <wp:effectExtent b="0" l="0" r="0" t="0"/>
            <wp:docPr descr="" title="" id="92" name="Picture"/>
            <a:graphic>
              <a:graphicData uri="http://schemas.openxmlformats.org/drawingml/2006/picture">
                <pic:pic>
                  <pic:nvPicPr>
                    <pic:cNvPr descr="images/paste-9.png" id="93" name="Picture"/>
                    <pic:cNvPicPr>
                      <a:picLocks noChangeArrowheads="1" noChangeAspect="1"/>
                    </pic:cNvPicPr>
                  </pic:nvPicPr>
                  <pic:blipFill>
                    <a:blip r:embed="rId91"/>
                    <a:stretch>
                      <a:fillRect/>
                    </a:stretch>
                  </pic:blipFill>
                  <pic:spPr bwMode="auto">
                    <a:xfrm>
                      <a:off x="0" y="0"/>
                      <a:ext cx="5334000" cy="4337129"/>
                    </a:xfrm>
                    <a:prstGeom prst="rect">
                      <a:avLst/>
                    </a:prstGeom>
                    <a:noFill/>
                    <a:ln w="9525">
                      <a:noFill/>
                      <a:headEnd/>
                      <a:tailEnd/>
                    </a:ln>
                  </pic:spPr>
                </pic:pic>
              </a:graphicData>
            </a:graphic>
          </wp:inline>
        </w:drawing>
      </w:r>
    </w:p>
    <w:bookmarkStart w:id="94" w:name="pros-and-cons"/>
    <w:p>
      <w:pPr>
        <w:pStyle w:val="Heading2"/>
      </w:pPr>
      <w:r>
        <w:t xml:space="preserve">Pros and cons</w:t>
      </w:r>
    </w:p>
    <w:p>
      <w:pPr>
        <w:numPr>
          <w:ilvl w:val="0"/>
          <w:numId w:val="1027"/>
        </w:numPr>
      </w:pPr>
      <w:r>
        <w:t xml:space="preserve">It is always a good idea to be able to reproduce exactly what you did!</w:t>
      </w:r>
    </w:p>
    <w:p>
      <w:pPr>
        <w:numPr>
          <w:ilvl w:val="0"/>
          <w:numId w:val="1027"/>
        </w:numPr>
      </w:pPr>
      <w:r>
        <w:t xml:space="preserve">But if you never update you might miss essential bug fixes!</w:t>
      </w:r>
    </w:p>
    <w:p>
      <w:pPr>
        <w:numPr>
          <w:ilvl w:val="0"/>
          <w:numId w:val="1027"/>
        </w:numPr>
      </w:pPr>
      <w:r>
        <w:t xml:space="preserve">If your results change, how can you know which version was the most accurate?</w:t>
      </w:r>
    </w:p>
    <w:p>
      <w:pPr>
        <w:pStyle w:val="FirstParagraph"/>
      </w:pPr>
      <w:r>
        <w:t xml:space="preserve">Best practice (I guess) is to rerun the analysis both with the frozen versions and with the most up-to-date versions of the packages … because you have all the time in the world and nothing more important to do … right … 😂</w:t>
      </w:r>
    </w:p>
    <w:bookmarkEnd w:id="94"/>
    <w:bookmarkStart w:id="98" w:name="different-operating-systems"/>
    <w:p>
      <w:pPr>
        <w:pStyle w:val="Heading2"/>
      </w:pPr>
      <w:r>
        <w:t xml:space="preserve">Different operating systems</w:t>
      </w:r>
    </w:p>
    <w:p>
      <w:pPr>
        <w:numPr>
          <w:ilvl w:val="0"/>
          <w:numId w:val="1028"/>
        </w:numPr>
      </w:pPr>
      <w:r>
        <w:t xml:space="preserve">R should behave similar on different operating systems.</w:t>
      </w:r>
    </w:p>
    <w:p>
      <w:pPr>
        <w:numPr>
          <w:ilvl w:val="0"/>
          <w:numId w:val="1028"/>
        </w:numPr>
      </w:pPr>
      <w:r>
        <w:t xml:space="preserve">Exceptions nevertheless exist!</w:t>
      </w:r>
    </w:p>
    <w:p>
      <w:pPr>
        <w:numPr>
          <w:ilvl w:val="1"/>
          <w:numId w:val="1029"/>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9"/>
        </w:numPr>
      </w:pPr>
      <w:r>
        <w:rPr>
          <w:rStyle w:val="VerbatimChar"/>
        </w:rPr>
        <w:t xml:space="preserve">sort(c("ä", "a", "z"))</w:t>
      </w:r>
      <w:r>
        <w:t xml:space="preserve"> </w:t>
      </w:r>
      <w:r>
        <w:t xml:space="preserve">might differ due to locale settings</w:t>
      </w:r>
    </w:p>
    <w:p>
      <w:pPr>
        <w:numPr>
          <w:ilvl w:val="1"/>
          <w:numId w:val="1029"/>
        </w:numPr>
      </w:pPr>
      <w:r>
        <w:t xml:space="preserve">Earlier versions of R relied on system-specific native encoding (notably on Windows), whereas modern versions (R ≥ 4.2) use UTF-8 as the default across platforms.</w:t>
      </w:r>
    </w:p>
    <w:p>
      <w:r>
        <w:pict>
          <v:rect style="width:0;height:1.5pt" o:hralign="center" o:hrstd="t" o:hr="t"/>
        </w:pict>
      </w:r>
    </w:p>
    <w:p>
      <w:pPr>
        <w:pStyle w:val="FirstParagraph"/>
      </w:pPr>
      <w:r>
        <w:drawing>
          <wp:inline>
            <wp:extent cx="5334000" cy="2830784"/>
            <wp:effectExtent b="0" l="0" r="0" t="0"/>
            <wp:docPr descr="" title="" id="96" name="Picture"/>
            <a:graphic>
              <a:graphicData uri="http://schemas.openxmlformats.org/drawingml/2006/picture">
                <pic:pic>
                  <pic:nvPicPr>
                    <pic:cNvPr descr="images/paste-10.png" id="97" name="Picture"/>
                    <pic:cNvPicPr>
                      <a:picLocks noChangeArrowheads="1" noChangeAspect="1"/>
                    </pic:cNvPicPr>
                  </pic:nvPicPr>
                  <pic:blipFill>
                    <a:blip r:embed="rId95"/>
                    <a:stretch>
                      <a:fillRect/>
                    </a:stretch>
                  </pic:blipFill>
                  <pic:spPr bwMode="auto">
                    <a:xfrm>
                      <a:off x="0" y="0"/>
                      <a:ext cx="5334000" cy="2830784"/>
                    </a:xfrm>
                    <a:prstGeom prst="rect">
                      <a:avLst/>
                    </a:prstGeom>
                    <a:noFill/>
                    <a:ln w="9525">
                      <a:noFill/>
                      <a:headEnd/>
                      <a:tailEnd/>
                    </a:ln>
                  </pic:spPr>
                </pic:pic>
              </a:graphicData>
            </a:graphic>
          </wp:inline>
        </w:drawing>
      </w:r>
    </w:p>
    <w:bookmarkEnd w:id="98"/>
    <w:bookmarkStart w:id="102" w:name="combining-all"/>
    <w:p>
      <w:pPr>
        <w:pStyle w:val="Heading2"/>
      </w:pPr>
      <w:r>
        <w:t xml:space="preserve">Combining all?</w:t>
      </w:r>
    </w:p>
    <w:p>
      <w:pPr>
        <w:numPr>
          <w:ilvl w:val="0"/>
          <w:numId w:val="1030"/>
        </w:numPr>
      </w:pPr>
      <w:r>
        <w:t xml:space="preserve">you could very well use both targets + renv + git + GitHub etc</w:t>
      </w:r>
    </w:p>
    <w:p>
      <w:pPr>
        <w:numPr>
          <w:ilvl w:val="0"/>
          <w:numId w:val="1030"/>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30"/>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100" name="Picture"/>
            <a:graphic>
              <a:graphicData uri="http://schemas.openxmlformats.org/drawingml/2006/picture">
                <pic:pic>
                  <pic:nvPicPr>
                    <pic:cNvPr descr="images/paste-11.png" id="101" name="Picture"/>
                    <pic:cNvPicPr>
                      <a:picLocks noChangeArrowheads="1" noChangeAspect="1"/>
                    </pic:cNvPicPr>
                  </pic:nvPicPr>
                  <pic:blipFill>
                    <a:blip r:embed="rId99"/>
                    <a:stretch>
                      <a:fillRect/>
                    </a:stretch>
                  </pic:blipFill>
                  <pic:spPr bwMode="auto">
                    <a:xfrm>
                      <a:off x="0" y="0"/>
                      <a:ext cx="5334000" cy="3597088"/>
                    </a:xfrm>
                    <a:prstGeom prst="rect">
                      <a:avLst/>
                    </a:prstGeom>
                    <a:noFill/>
                    <a:ln w="9525">
                      <a:noFill/>
                      <a:headEnd/>
                      <a:tailEnd/>
                    </a:ln>
                  </pic:spPr>
                </pic:pic>
              </a:graphicData>
            </a:graphic>
          </wp:inline>
        </w:drawing>
      </w:r>
    </w:p>
    <w:bookmarkEnd w:id="102"/>
    <w:bookmarkEnd w:id="103"/>
    <w:bookmarkStart w:id="124" w:name="tre"/>
    <w:p>
      <w:pPr>
        <w:pStyle w:val="Heading1"/>
      </w:pPr>
      <w:r>
        <w:t xml:space="preserve">TRE</w:t>
      </w:r>
    </w:p>
    <w:p>
      <w:pPr>
        <w:numPr>
          <w:ilvl w:val="0"/>
          <w:numId w:val="1031"/>
        </w:numPr>
      </w:pPr>
      <w:r>
        <w:rPr>
          <w:b/>
          <w:bCs/>
        </w:rPr>
        <w:t xml:space="preserve">Historically</w:t>
      </w:r>
      <w:r>
        <w:t xml:space="preserve">: centralized data on</w:t>
      </w:r>
      <w:r>
        <w:t xml:space="preserve"> </w:t>
      </w:r>
      <w:hyperlink r:id="rId104">
        <w:r>
          <w:rPr>
            <w:rStyle w:val="Hyperlink"/>
          </w:rPr>
          <w:t xml:space="preserve">mainframe computer</w:t>
        </w:r>
      </w:hyperlink>
    </w:p>
    <w:p>
      <w:pPr>
        <w:numPr>
          <w:ilvl w:val="0"/>
          <w:numId w:val="1031"/>
        </w:numPr>
      </w:pPr>
      <w:r>
        <w:rPr>
          <w:b/>
          <w:bCs/>
        </w:rPr>
        <w:t xml:space="preserve">More recently:</w:t>
      </w:r>
      <w:r>
        <w:t xml:space="preserve"> </w:t>
      </w:r>
      <w:r>
        <w:t xml:space="preserve">working with data locally (desktop/laptop)</w:t>
      </w:r>
    </w:p>
    <w:p>
      <w:pPr>
        <w:numPr>
          <w:ilvl w:val="1"/>
          <w:numId w:val="1032"/>
        </w:numPr>
      </w:pPr>
      <w:r>
        <w:t xml:space="preserve">Full volume encryption (</w:t>
      </w:r>
      <w:hyperlink r:id="rId105">
        <w:r>
          <w:rPr>
            <w:rStyle w:val="Hyperlink"/>
          </w:rPr>
          <w:t xml:space="preserve">BitLocker</w:t>
        </w:r>
      </w:hyperlink>
      <w:r>
        <w:t xml:space="preserve"> </w:t>
      </w:r>
      <w:r>
        <w:t xml:space="preserve">on Windows,</w:t>
      </w:r>
      <w:r>
        <w:t xml:space="preserve"> </w:t>
      </w:r>
      <w:hyperlink r:id="rId106">
        <w:r>
          <w:rPr>
            <w:rStyle w:val="Hyperlink"/>
          </w:rPr>
          <w:t xml:space="preserve">FileVault</w:t>
        </w:r>
      </w:hyperlink>
      <w:r>
        <w:t xml:space="preserve"> </w:t>
      </w:r>
      <w:r>
        <w:t xml:space="preserve">on Mac etc)</w:t>
      </w:r>
    </w:p>
    <w:p>
      <w:pPr>
        <w:numPr>
          <w:ilvl w:val="1"/>
          <w:numId w:val="1032"/>
        </w:numPr>
      </w:pPr>
      <w:r>
        <w:t xml:space="preserve">Possible to work off-line (trains, flights etc)</w:t>
      </w:r>
    </w:p>
    <w:p>
      <w:pPr>
        <w:numPr>
          <w:ilvl w:val="1"/>
          <w:numId w:val="1032"/>
        </w:numPr>
      </w:pPr>
      <w:r>
        <w:t xml:space="preserve">Backups! Backups!!! BACKUPS!!!</w:t>
      </w:r>
    </w:p>
    <w:p>
      <w:pPr>
        <w:numPr>
          <w:ilvl w:val="1"/>
          <w:numId w:val="1032"/>
        </w:numPr>
      </w:pPr>
      <w:r>
        <w:t xml:space="preserve">Usually only password protected and no logging of of activities</w:t>
      </w:r>
    </w:p>
    <w:p>
      <w:pPr>
        <w:numPr>
          <w:ilvl w:val="1"/>
          <w:numId w:val="1032"/>
        </w:numPr>
      </w:pPr>
      <w:r>
        <w:t xml:space="preserve">Sometimes admin user (sometimes not)</w:t>
      </w:r>
    </w:p>
    <w:p>
      <w:pPr>
        <w:numPr>
          <w:ilvl w:val="0"/>
          <w:numId w:val="1031"/>
        </w:numPr>
      </w:pPr>
      <w:r>
        <w:rPr>
          <w:b/>
          <w:bCs/>
        </w:rPr>
        <w:t xml:space="preserve">Nowadays</w:t>
      </w:r>
      <w:r>
        <w:t xml:space="preserve">: (Different names, same concept) Secure Research Envoronemnt (SRE), Trusted Research Envoronment (TRE), Secure Data Environment (SDE), Data Clean Room, Data Safe Havens, …</w:t>
      </w:r>
    </w:p>
    <w:bookmarkStart w:id="123" w:name="in-practice"/>
    <w:p>
      <w:pPr>
        <w:pStyle w:val="Heading2"/>
      </w:pPr>
      <w:r>
        <w:t xml:space="preserve">In practice</w:t>
      </w:r>
    </w:p>
    <w:p>
      <w:pPr>
        <w:numPr>
          <w:ilvl w:val="0"/>
          <w:numId w:val="1033"/>
        </w:numPr>
      </w:pPr>
      <w:r>
        <w:t xml:space="preserve">Connect through VPN</w:t>
      </w:r>
    </w:p>
    <w:p>
      <w:pPr>
        <w:numPr>
          <w:ilvl w:val="0"/>
          <w:numId w:val="1033"/>
        </w:numPr>
      </w:pPr>
      <w:r>
        <w:t xml:space="preserve">2-factor authentication (BankID common in Sweden)</w:t>
      </w:r>
    </w:p>
    <w:p>
      <w:pPr>
        <w:numPr>
          <w:ilvl w:val="0"/>
          <w:numId w:val="1033"/>
        </w:numPr>
      </w:pPr>
      <w:r>
        <w:t xml:space="preserve">Often by Remote Desktop (to access a Windows virtual desktop)</w:t>
      </w:r>
    </w:p>
    <w:p>
      <w:pPr>
        <w:numPr>
          <w:ilvl w:val="0"/>
          <w:numId w:val="1033"/>
        </w:numPr>
      </w:pPr>
      <w:r>
        <w:t xml:space="preserve">Sometimes a containerized Linux setup for R/RStudio etc accessed through a web browser (from within the virtual Windows machine)</w:t>
      </w:r>
    </w:p>
    <w:p>
      <w:pPr>
        <w:numPr>
          <w:ilvl w:val="0"/>
          <w:numId w:val="1033"/>
        </w:numPr>
      </w:pPr>
      <w:r>
        <w:t xml:space="preserve">Limited internet access from within the environment (maybe possible to install CRAN-packages tied to a certain historical snapshot but not the latest released/developed versions).</w:t>
      </w:r>
    </w:p>
    <w:p>
      <w:pPr>
        <w:numPr>
          <w:ilvl w:val="0"/>
          <w:numId w:val="1033"/>
        </w:numPr>
      </w:pPr>
      <w:r>
        <w:t xml:space="preserve">Data import and exports goes through administrator</w:t>
      </w:r>
    </w:p>
    <w:p>
      <w:pPr>
        <w:numPr>
          <w:ilvl w:val="0"/>
          <w:numId w:val="1033"/>
        </w:numPr>
      </w:pPr>
      <w:r>
        <w:rPr>
          <w:b/>
          <w:bCs/>
        </w:rPr>
        <w:t xml:space="preserve">Pros</w:t>
      </w:r>
      <w:r>
        <w:t xml:space="preserve">: Secure, centralized backups, possibility to scale/share large computing resources (CPU, RAM, GPU etc), less dependent on individual computer (laptop), might aid collaboration</w:t>
      </w:r>
    </w:p>
    <w:p>
      <w:pPr>
        <w:numPr>
          <w:ilvl w:val="0"/>
          <w:numId w:val="1033"/>
        </w:numPr>
      </w:pPr>
      <w:r>
        <w:rPr>
          <w:b/>
          <w:bCs/>
        </w:rPr>
        <w:t xml:space="preserve">Cons</w:t>
      </w:r>
      <w:r>
        <w:t xml:space="preserve">: needs internet connection, restrictions on what software (packages) to use, difficult to export results and/or import script files etc, mentally exhausting to use for example a Mac Keyboard when working in Windows, can be expensive (pay per clock-cycle of CPU usage etc instead of simply purchasing a computer once).</w:t>
      </w:r>
    </w:p>
    <w:p>
      <w:r>
        <w:pict>
          <v:rect style="width:0;height:1.5pt" o:hralign="center" o:hrstd="t" o:hr="t"/>
        </w:pict>
      </w:r>
    </w:p>
    <w:p>
      <w:pPr>
        <w:pStyle w:val="FirstParagraph"/>
      </w:pPr>
      <w:r>
        <w:drawing>
          <wp:inline>
            <wp:extent cx="5334000" cy="8678167"/>
            <wp:effectExtent b="0" l="0" r="0" t="0"/>
            <wp:docPr descr="" title="" id="108" name="Picture"/>
            <a:graphic>
              <a:graphicData uri="http://schemas.openxmlformats.org/drawingml/2006/picture">
                <pic:pic>
                  <pic:nvPicPr>
                    <pic:cNvPr descr="images/paste-24.png" id="109" name="Picture"/>
                    <pic:cNvPicPr>
                      <a:picLocks noChangeArrowheads="1" noChangeAspect="1"/>
                    </pic:cNvPicPr>
                  </pic:nvPicPr>
                  <pic:blipFill>
                    <a:blip r:embed="rId107"/>
                    <a:stretch>
                      <a:fillRect/>
                    </a:stretch>
                  </pic:blipFill>
                  <pic:spPr bwMode="auto">
                    <a:xfrm>
                      <a:off x="0" y="0"/>
                      <a:ext cx="5334000" cy="867816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40280"/>
            <wp:effectExtent b="0" l="0" r="0" t="0"/>
            <wp:docPr descr="" title="" id="111" name="Picture"/>
            <a:graphic>
              <a:graphicData uri="http://schemas.openxmlformats.org/drawingml/2006/picture">
                <pic:pic>
                  <pic:nvPicPr>
                    <pic:cNvPr descr="images/paste-13.png" id="112" name="Picture"/>
                    <pic:cNvPicPr>
                      <a:picLocks noChangeArrowheads="1" noChangeAspect="1"/>
                    </pic:cNvPicPr>
                  </pic:nvPicPr>
                  <pic:blipFill>
                    <a:blip r:embed="rId110"/>
                    <a:stretch>
                      <a:fillRect/>
                    </a:stretch>
                  </pic:blipFill>
                  <pic:spPr bwMode="auto">
                    <a:xfrm>
                      <a:off x="0" y="0"/>
                      <a:ext cx="5334000" cy="2240280"/>
                    </a:xfrm>
                    <a:prstGeom prst="rect">
                      <a:avLst/>
                    </a:prstGeom>
                    <a:noFill/>
                    <a:ln w="9525">
                      <a:noFill/>
                      <a:headEnd/>
                      <a:tailEnd/>
                    </a:ln>
                  </pic:spPr>
                </pic:pic>
              </a:graphicData>
            </a:graphic>
          </wp:inline>
        </w:drawing>
      </w:r>
    </w:p>
    <w:p>
      <w:r>
        <w:pict>
          <v:rect style="width:0;height:1.5pt" o:hralign="center" o:hrstd="t" o:hr="t"/>
        </w:pict>
      </w:r>
    </w:p>
    <w:bookmarkStart w:id="122" w:name="refs"/>
    <w:bookmarkStart w:id="11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113">
        <w:r>
          <w:rPr>
            <w:rStyle w:val="Hyperlink"/>
          </w:rPr>
          <w:t xml:space="preserve">https://doi.org/10.1038/533452a</w:t>
        </w:r>
      </w:hyperlink>
      <w:r>
        <w:t xml:space="preserve">.</w:t>
      </w:r>
    </w:p>
    <w:bookmarkEnd w:id="114"/>
    <w:bookmarkStart w:id="116" w:name="ref-kavianpour2022"/>
    <w:p>
      <w:pPr>
        <w:pStyle w:val="Bibliography"/>
      </w:pPr>
      <w:r>
        <w:t xml:space="preserve">Kavianpour, Sanaz, James Sutherland, Esma Mansouri-Benssassi, Natalie Coull, and Emily Jefferson. 2022.</w:t>
      </w:r>
      <w:r>
        <w:t xml:space="preserve"> </w:t>
      </w:r>
      <w:r>
        <w:t xml:space="preserve">“Next-Generation Capabilities in Trusted Research Environments: Interview Study.”</w:t>
      </w:r>
      <w:r>
        <w:t xml:space="preserve"> </w:t>
      </w:r>
      <w:r>
        <w:rPr>
          <w:i/>
          <w:iCs/>
        </w:rPr>
        <w:t xml:space="preserve">Journal of Medical Internet Research</w:t>
      </w:r>
      <w:r>
        <w:t xml:space="preserve"> </w:t>
      </w:r>
      <w:r>
        <w:t xml:space="preserve">24 (9): e33720.</w:t>
      </w:r>
      <w:r>
        <w:t xml:space="preserve"> </w:t>
      </w:r>
      <w:hyperlink r:id="rId115">
        <w:r>
          <w:rPr>
            <w:rStyle w:val="Hyperlink"/>
          </w:rPr>
          <w:t xml:space="preserve">https://doi.org/10.2196/33720</w:t>
        </w:r>
      </w:hyperlink>
      <w:r>
        <w:t xml:space="preserve">.</w:t>
      </w:r>
    </w:p>
    <w:bookmarkEnd w:id="116"/>
    <w:bookmarkStart w:id="117"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117"/>
    <w:bookmarkStart w:id="119"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118">
        <w:r>
          <w:rPr>
            <w:rStyle w:val="Hyperlink"/>
          </w:rPr>
          <w:t xml:space="preserve">https://doi.org/10.1038/d41586-025-01266-x</w:t>
        </w:r>
      </w:hyperlink>
      <w:r>
        <w:t xml:space="preserve">.</w:t>
      </w:r>
    </w:p>
    <w:bookmarkEnd w:id="119"/>
    <w:bookmarkStart w:id="121"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120">
        <w:r>
          <w:rPr>
            <w:rStyle w:val="Hyperlink"/>
          </w:rPr>
          <w:t xml:space="preserve">https://doi.org/10.1146/annurev-publhealth-012420-105110</w:t>
        </w:r>
      </w:hyperlink>
      <w:r>
        <w:t xml:space="preserve">.</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91" Target="media/rId91.png" /><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_rels/footnotes.xml.rels><?xml version="1.0" encoding="UTF-8"?><Relationships xmlns="http://schemas.openxmlformats.org/package/2006/relationships"><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2026-03-05T16:40:53Z</dcterms:created>
  <dcterms:modified xsi:type="dcterms:W3CDTF">2026-03-05T16:40:53Z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date">
    <vt:lpwstr>2026-02-25</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ading">
    <vt:lpwstr>(Nguyen 2022, ch. 2), (Baker 2016), (Oliveira Andrade 2025), (Kavianpour et al. 2022), (Peng and Hicks 2021)</vt:lpwstr>
  </property>
  <property fmtid="{D5CDD505-2E9C-101B-9397-08002B2CF9AE}" pid="11" name="subtitle">
    <vt:lpwstr>{targets} and safe environments</vt:lpwstr>
  </property>
  <property fmtid="{D5CDD505-2E9C-101B-9397-08002B2CF9AE}" pid="12" name="toc-title">
    <vt:lpwstr>Table of contents</vt:lpwstr>
  </property>
</Properties>
</file>