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83.png" ContentType="image/png"/>
  <Override PartName="/word/media/rId53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codes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onwn (health informatics and clinical terminology)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t xml:space="preserve">“kräfta”</w:t>
      </w:r>
      <w:r>
        <w:t xml:space="preserve"> </w:t>
      </w:r>
      <w:r>
        <w:t xml:space="preserve">(Swedish) = cancer 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actually a</w:t>
      </w:r>
      <w:r>
        <w:t xml:space="preserve"> </w:t>
      </w:r>
      <w:r>
        <w:t xml:space="preserve">“crab”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 malignant neoplasm 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 invasive adenocarcinoma.</w:t>
      </w:r>
    </w:p>
    <w:p>
      <w:pPr>
        <w:pStyle w:val="Compact"/>
        <w:numPr>
          <w:ilvl w:val="1"/>
          <w:numId w:val="1007"/>
        </w:numPr>
      </w:pPr>
      <w:r>
        <w:t xml:space="preserve">Evidence of metastatic disease 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6" w:name="granularityreliabaility"/>
    <w:p>
      <w:pPr>
        <w:pStyle w:val="Heading2"/>
      </w:pPr>
      <w:r>
        <w:t xml:space="preserve">Granularity/reliabaility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grannular and precise, the data quality often relies on different coding practicies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translaed to a code by administrative staff</w:t>
      </w:r>
    </w:p>
    <w:bookmarkEnd w:id="26"/>
    <w:bookmarkStart w:id="27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anaesthesia. During general anaesthesia,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anaesthesia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7"/>
    <w:bookmarkStart w:id="28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8"/>
    <w:bookmarkStart w:id="29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29"/>
    <w:bookmarkStart w:id="30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0"/>
    <w:bookmarkStart w:id="31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Many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687"/>
        <w:gridCol w:w="2596"/>
        <w:gridCol w:w="2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1"/>
    <w:bookmarkStart w:id="32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 and 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2"/>
    <w:bookmarkStart w:id="33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3"/>
    <w:bookmarkStart w:id="34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4"/>
    <w:bookmarkStart w:id="35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into more detailed categories</w:t>
      </w:r>
    </w:p>
    <w:p>
      <w:pPr>
        <w:pStyle w:val="Compact"/>
        <w:numPr>
          <w:ilvl w:val="0"/>
          <w:numId w:val="1028"/>
        </w:numPr>
      </w:pPr>
      <w:r>
        <w:t xml:space="preserve">Codes may be merged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5"/>
    <w:bookmarkStart w:id="36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analysing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 (most common)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6"/>
    <w:bookmarkStart w:id="37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848"/>
        <w:gridCol w:w="19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</w:t>
            </w:r>
            <w:r>
              <w:t xml:space="preserve">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</w:t>
            </w:r>
            <w:r>
              <w:t xml:space="preserve">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</w:t>
            </w:r>
            <w:r>
              <w:t xml:space="preserve">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7"/>
    <w:bookmarkStart w:id="38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2"/>
        </w:numPr>
      </w:pPr>
      <w:r>
        <w:t xml:space="preserve">Applies if you want to look at longer time trends etc or combine data from different periods</w:t>
      </w:r>
    </w:p>
    <w:bookmarkEnd w:id="38"/>
    <w:bookmarkStart w:id="39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3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3"/>
        </w:numPr>
      </w:pPr>
      <w:r>
        <w:t xml:space="preserve">Combines:</w:t>
      </w:r>
    </w:p>
    <w:p>
      <w:pPr>
        <w:pStyle w:val="Compact"/>
        <w:numPr>
          <w:ilvl w:val="1"/>
          <w:numId w:val="1034"/>
        </w:numPr>
      </w:pPr>
      <w:r>
        <w:t xml:space="preserve">Topography (tumour site)</w:t>
      </w:r>
    </w:p>
    <w:p>
      <w:pPr>
        <w:pStyle w:val="Compact"/>
        <w:numPr>
          <w:ilvl w:val="1"/>
          <w:numId w:val="1034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3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3"/>
        </w:numPr>
      </w:pPr>
      <w:r>
        <w:t xml:space="preserve">Earlier versions: - ICD-O-1 - ICD-O-2</w:t>
      </w:r>
    </w:p>
    <w:p>
      <w:pPr>
        <w:pStyle w:val="Compact"/>
        <w:numPr>
          <w:ilvl w:val="0"/>
          <w:numId w:val="1033"/>
        </w:numPr>
      </w:pPr>
      <w:r>
        <w:t xml:space="preserve">ICD-O is more detailed than ICD-10 for cancer incidence studies.</w:t>
      </w:r>
    </w:p>
    <w:bookmarkEnd w:id="39"/>
    <w:bookmarkStart w:id="46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5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5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6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6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aste-3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paste-3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regional-variation-in-coding"/>
    <w:p>
      <w:pPr>
        <w:pStyle w:val="Heading2"/>
      </w:pPr>
      <w:r>
        <w:t xml:space="preserve">Regional 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7"/>
        </w:numPr>
      </w:pPr>
      <w:r>
        <w:t xml:space="preserve">Coding training</w:t>
      </w:r>
    </w:p>
    <w:p>
      <w:pPr>
        <w:pStyle w:val="Compact"/>
        <w:numPr>
          <w:ilvl w:val="0"/>
          <w:numId w:val="1037"/>
        </w:numPr>
      </w:pPr>
      <w:r>
        <w:t xml:space="preserve">Local guidelines</w:t>
      </w:r>
    </w:p>
    <w:p>
      <w:pPr>
        <w:pStyle w:val="Compact"/>
        <w:numPr>
          <w:ilvl w:val="0"/>
          <w:numId w:val="1037"/>
        </w:numPr>
      </w:pPr>
      <w:r>
        <w:t xml:space="preserve">Administrative incentives</w:t>
      </w:r>
    </w:p>
    <w:p>
      <w:pPr>
        <w:pStyle w:val="Compact"/>
        <w:numPr>
          <w:ilvl w:val="0"/>
          <w:numId w:val="1037"/>
        </w:numPr>
      </w:pPr>
      <w:r>
        <w:t xml:space="preserve">Reimbursement systems</w:t>
      </w:r>
    </w:p>
    <w:p>
      <w:pPr>
        <w:pStyle w:val="Compact"/>
        <w:numPr>
          <w:ilvl w:val="0"/>
          <w:numId w:val="1037"/>
        </w:numPr>
      </w:pPr>
      <w:r>
        <w:t xml:space="preserve">Electronic health record design</w:t>
      </w:r>
    </w:p>
    <w:p>
      <w:pPr>
        <w:pStyle w:val="FirstParagraph"/>
      </w:pPr>
      <w:r>
        <w:t xml:space="preserve">Registers capture both clinical events and coding behaviour.</w:t>
      </w:r>
    </w:p>
    <w:bookmarkEnd w:id="47"/>
    <w:bookmarkStart w:id="48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38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48"/>
    <w:bookmarkStart w:id="49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49"/>
    <w:bookmarkStart w:id="50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0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0"/>
        </w:numPr>
      </w:pPr>
      <w:r>
        <w:t xml:space="preserve">PPV = True positives / (True positives + False positives)</w:t>
      </w:r>
    </w:p>
    <w:bookmarkEnd w:id="50"/>
    <w:bookmarkStart w:id="51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1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1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1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1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1"/>
    <w:bookmarkStart w:id="52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2"/>
        </w:numPr>
      </w:pPr>
      <w:r>
        <w:t xml:space="preserve">Which ICD version?</w:t>
      </w:r>
    </w:p>
    <w:p>
      <w:pPr>
        <w:pStyle w:val="Compact"/>
        <w:numPr>
          <w:ilvl w:val="0"/>
          <w:numId w:val="1042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2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2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2"/>
        </w:numPr>
      </w:pPr>
      <w:r>
        <w:t xml:space="preserve">Are crosswalks required?</w:t>
      </w:r>
    </w:p>
    <w:p>
      <w:pPr>
        <w:pStyle w:val="Compact"/>
        <w:numPr>
          <w:ilvl w:val="0"/>
          <w:numId w:val="1042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2"/>
    <w:bookmarkStart w:id="56" w:name="atc"/>
    <w:p>
      <w:pPr>
        <w:pStyle w:val="Heading2"/>
      </w:pPr>
      <w:r>
        <w:t xml:space="preserve">ATC</w:t>
      </w:r>
    </w:p>
    <w:p>
      <w:pPr>
        <w:pStyle w:val="Compact"/>
        <w:numPr>
          <w:ilvl w:val="0"/>
          <w:numId w:val="1043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3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3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3"/>
        </w:numPr>
      </w:pPr>
      <w:r>
        <w:t xml:space="preserve">introduced in the 1960s</w:t>
      </w:r>
    </w:p>
    <w:p>
      <w:pPr>
        <w:pStyle w:val="Compact"/>
        <w:numPr>
          <w:ilvl w:val="0"/>
          <w:numId w:val="1043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3"/>
        </w:numPr>
      </w:pPr>
      <w:r>
        <w:t xml:space="preserve">follow a hierarchical structure:</w:t>
      </w:r>
    </w:p>
    <w:p>
      <w:pPr>
        <w:pStyle w:val="Compact"/>
        <w:numPr>
          <w:ilvl w:val="1"/>
          <w:numId w:val="1044"/>
        </w:numPr>
      </w:pPr>
      <w:r>
        <w:t xml:space="preserve">1 letter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2 letters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3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paste-2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8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45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45"/>
        </w:numPr>
      </w:pPr>
      <w:r>
        <w:t xml:space="preserve">When a doctor prescribes a medicatin, the ATC code will follow automatically</w:t>
      </w:r>
    </w:p>
    <w:p>
      <w:pPr>
        <w:pStyle w:val="Compact"/>
        <w:numPr>
          <w:ilvl w:val="0"/>
          <w:numId w:val="1045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45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45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45"/>
        </w:numPr>
      </w:pPr>
      <w:r>
        <w:t xml:space="preserve">Daily updates to the</w:t>
      </w:r>
      <w:r>
        <w:t xml:space="preserve"> </w:t>
      </w:r>
      <w:hyperlink r:id="rId57">
        <w:r>
          <w:rPr>
            <w:rStyle w:val="Hyperlink"/>
          </w:rPr>
          <w:t xml:space="preserve">National Substance Register</w:t>
        </w:r>
      </w:hyperlink>
    </w:p>
    <w:bookmarkEnd w:id="58"/>
    <w:bookmarkStart w:id="59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46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46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46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46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47"/>
        </w:numPr>
      </w:pPr>
      <w:r>
        <w:t xml:space="preserve">PCS = Procedure Coding System</w:t>
      </w:r>
    </w:p>
    <w:bookmarkEnd w:id="59"/>
    <w:bookmarkStart w:id="60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48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48"/>
        </w:numPr>
      </w:pPr>
      <w:r>
        <w:t xml:space="preserve">Primarily for on surgical procedures</w:t>
      </w:r>
    </w:p>
    <w:bookmarkEnd w:id="60"/>
    <w:bookmarkStart w:id="61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49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49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49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49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0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0"/>
        </w:numPr>
      </w:pPr>
      <w:r>
        <w:t xml:space="preserve">Radiotherapy sessions</w:t>
      </w:r>
    </w:p>
    <w:p>
      <w:pPr>
        <w:pStyle w:val="Compact"/>
        <w:numPr>
          <w:ilvl w:val="1"/>
          <w:numId w:val="1050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0"/>
        </w:numPr>
      </w:pPr>
      <w:r>
        <w:t xml:space="preserve">Blood transfusion</w:t>
      </w:r>
    </w:p>
    <w:p>
      <w:pPr>
        <w:pStyle w:val="Compact"/>
        <w:numPr>
          <w:ilvl w:val="1"/>
          <w:numId w:val="1050"/>
        </w:numPr>
      </w:pPr>
      <w:r>
        <w:t xml:space="preserve">Vaccination</w:t>
      </w:r>
    </w:p>
    <w:p>
      <w:pPr>
        <w:pStyle w:val="Compact"/>
        <w:numPr>
          <w:ilvl w:val="1"/>
          <w:numId w:val="1050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0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0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0"/>
        </w:numPr>
      </w:pPr>
      <w:r>
        <w:t xml:space="preserve">Nutritional counselling</w:t>
      </w:r>
    </w:p>
    <w:p>
      <w:pPr>
        <w:pStyle w:val="Compact"/>
        <w:numPr>
          <w:ilvl w:val="1"/>
          <w:numId w:val="1050"/>
        </w:numPr>
      </w:pPr>
      <w:r>
        <w:t xml:space="preserve">Physiotherapy interventions</w:t>
      </w:r>
    </w:p>
    <w:p>
      <w:pPr>
        <w:pStyle w:val="Compact"/>
        <w:numPr>
          <w:ilvl w:val="1"/>
          <w:numId w:val="1050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0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0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0"/>
        </w:numPr>
      </w:pPr>
      <w:r>
        <w:t xml:space="preserve">Palliative care planning</w:t>
      </w:r>
    </w:p>
    <w:bookmarkEnd w:id="61"/>
    <w:bookmarkStart w:id="62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1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1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1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2"/>
    <w:bookmarkStart w:id="63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3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3"/>
        </w:numPr>
      </w:pPr>
      <w:r>
        <w:t xml:space="preserve">Used in:</w:t>
      </w:r>
    </w:p>
    <w:p>
      <w:pPr>
        <w:pStyle w:val="Compact"/>
        <w:numPr>
          <w:ilvl w:val="1"/>
          <w:numId w:val="1054"/>
        </w:numPr>
      </w:pPr>
      <w:r>
        <w:t xml:space="preserve">National Patient Register</w:t>
      </w:r>
    </w:p>
    <w:p>
      <w:pPr>
        <w:pStyle w:val="Compact"/>
        <w:numPr>
          <w:ilvl w:val="1"/>
          <w:numId w:val="1054"/>
        </w:numPr>
      </w:pPr>
      <w:r>
        <w:t xml:space="preserve">Quality registers</w:t>
      </w:r>
    </w:p>
    <w:p>
      <w:pPr>
        <w:pStyle w:val="Compact"/>
        <w:numPr>
          <w:ilvl w:val="1"/>
          <w:numId w:val="1054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54"/>
        </w:numPr>
      </w:pPr>
      <w:r>
        <w:t xml:space="preserve">Health services research</w:t>
      </w:r>
    </w:p>
    <w:bookmarkEnd w:id="63"/>
    <w:bookmarkStart w:id="64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56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56"/>
        </w:numPr>
      </w:pPr>
      <w:r>
        <w:t xml:space="preserve">A NOMESCO procedure code (e.g., hip replacement surgery)</w:t>
      </w:r>
    </w:p>
    <w:bookmarkEnd w:id="64"/>
    <w:bookmarkStart w:id="65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57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57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58"/>
        </w:numPr>
      </w:pPr>
      <w:r>
        <w:t xml:space="preserve">Clinical practice changes</w:t>
      </w:r>
    </w:p>
    <w:p>
      <w:pPr>
        <w:pStyle w:val="Compact"/>
        <w:numPr>
          <w:ilvl w:val="1"/>
          <w:numId w:val="1058"/>
        </w:numPr>
      </w:pPr>
      <w:r>
        <w:t xml:space="preserve">Technology changes</w:t>
      </w:r>
    </w:p>
    <w:p>
      <w:pPr>
        <w:pStyle w:val="Compact"/>
        <w:numPr>
          <w:ilvl w:val="1"/>
          <w:numId w:val="1058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57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5"/>
    <w:bookmarkStart w:id="66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59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59"/>
        </w:numPr>
      </w:pPr>
      <w:r>
        <w:t xml:space="preserve">Used for:</w:t>
      </w:r>
    </w:p>
    <w:p>
      <w:pPr>
        <w:pStyle w:val="Compact"/>
        <w:numPr>
          <w:ilvl w:val="1"/>
          <w:numId w:val="1060"/>
        </w:numPr>
      </w:pPr>
      <w:r>
        <w:t xml:space="preserve">Hospital reimbursement</w:t>
      </w:r>
    </w:p>
    <w:p>
      <w:pPr>
        <w:pStyle w:val="Compact"/>
        <w:numPr>
          <w:ilvl w:val="1"/>
          <w:numId w:val="1060"/>
        </w:numPr>
      </w:pPr>
      <w:r>
        <w:t xml:space="preserve">Resource allocation</w:t>
      </w:r>
    </w:p>
    <w:p>
      <w:pPr>
        <w:pStyle w:val="Compact"/>
        <w:numPr>
          <w:ilvl w:val="1"/>
          <w:numId w:val="1060"/>
        </w:numPr>
      </w:pPr>
      <w:r>
        <w:t xml:space="preserve">Health care management</w:t>
      </w:r>
    </w:p>
    <w:p>
      <w:pPr>
        <w:pStyle w:val="Compact"/>
        <w:numPr>
          <w:ilvl w:val="1"/>
          <w:numId w:val="1060"/>
        </w:numPr>
      </w:pPr>
      <w:r>
        <w:t xml:space="preserve">Productivity and efficiency analyses</w:t>
      </w:r>
    </w:p>
    <w:bookmarkEnd w:id="66"/>
    <w:bookmarkStart w:id="67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1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1"/>
        </w:numPr>
      </w:pPr>
      <w:r>
        <w:t xml:space="preserve">Secondary diagnoses</w:t>
      </w:r>
    </w:p>
    <w:p>
      <w:pPr>
        <w:pStyle w:val="Compact"/>
        <w:numPr>
          <w:ilvl w:val="0"/>
          <w:numId w:val="1061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1"/>
        </w:numPr>
      </w:pPr>
      <w:r>
        <w:t xml:space="preserve">Age</w:t>
      </w:r>
    </w:p>
    <w:p>
      <w:pPr>
        <w:pStyle w:val="Compact"/>
        <w:numPr>
          <w:ilvl w:val="0"/>
          <w:numId w:val="1061"/>
        </w:numPr>
      </w:pPr>
      <w:r>
        <w:t xml:space="preserve">Sex</w:t>
      </w:r>
    </w:p>
    <w:p>
      <w:pPr>
        <w:pStyle w:val="Compact"/>
        <w:numPr>
          <w:ilvl w:val="0"/>
          <w:numId w:val="1061"/>
        </w:numPr>
      </w:pPr>
      <w:r>
        <w:t xml:space="preserve">Discharge status</w:t>
      </w:r>
    </w:p>
    <w:p>
      <w:pPr>
        <w:pStyle w:val="Compact"/>
        <w:numPr>
          <w:ilvl w:val="0"/>
          <w:numId w:val="1061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7"/>
    <w:bookmarkStart w:id="68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2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2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2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2"/>
        </w:numPr>
      </w:pPr>
      <w:r>
        <w:t xml:space="preserve">DRG is suitable for health services and economic analyses, but less appropriate for etiological research.</w:t>
      </w:r>
    </w:p>
    <w:bookmarkEnd w:id="68"/>
    <w:bookmarkStart w:id="98" w:name="regular-expressions"/>
    <w:p>
      <w:pPr>
        <w:pStyle w:val="Heading1"/>
      </w:pPr>
      <w:r>
        <w:t xml:space="preserve">Regular expressions</w:t>
      </w:r>
    </w:p>
    <w:bookmarkStart w:id="70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63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63"/>
        </w:numPr>
      </w:pPr>
      <w:r>
        <w:t xml:space="preserve">Used to:</w:t>
      </w:r>
    </w:p>
    <w:p>
      <w:pPr>
        <w:pStyle w:val="Compact"/>
        <w:numPr>
          <w:ilvl w:val="1"/>
          <w:numId w:val="1064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64"/>
        </w:numPr>
      </w:pPr>
      <w:r>
        <w:t xml:space="preserve">Identify drug codes (ATC)</w:t>
      </w:r>
    </w:p>
    <w:p>
      <w:pPr>
        <w:pStyle w:val="Compact"/>
        <w:numPr>
          <w:ilvl w:val="1"/>
          <w:numId w:val="1064"/>
        </w:numPr>
      </w:pPr>
      <w:r>
        <w:t xml:space="preserve">Clean register data</w:t>
      </w:r>
    </w:p>
    <w:p>
      <w:pPr>
        <w:pStyle w:val="Compact"/>
        <w:numPr>
          <w:ilvl w:val="1"/>
          <w:numId w:val="1064"/>
        </w:numPr>
      </w:pPr>
      <w:r>
        <w:t xml:space="preserve">Validate variables</w:t>
      </w:r>
    </w:p>
    <w:p>
      <w:pPr>
        <w:pStyle w:val="Compact"/>
        <w:numPr>
          <w:ilvl w:val="0"/>
          <w:numId w:val="1063"/>
        </w:numPr>
      </w:pPr>
      <w:r>
        <w:t xml:space="preserve">In R:</w:t>
      </w:r>
    </w:p>
    <w:p>
      <w:pPr>
        <w:pStyle w:val="Compact"/>
        <w:numPr>
          <w:ilvl w:val="1"/>
          <w:numId w:val="1065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65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65"/>
        </w:numPr>
      </w:pPr>
      <w:r>
        <w:t xml:space="preserve">More efficient for big data:</w:t>
      </w:r>
      <w:r>
        <w:t xml:space="preserve"> </w:t>
      </w:r>
      <w:hyperlink r:id="rId69">
        <w:r>
          <w:rPr>
            <w:rStyle w:val="Hyperlink"/>
          </w:rPr>
          <w:t xml:space="preserve">stringfish</w:t>
        </w:r>
      </w:hyperlink>
    </w:p>
    <w:bookmarkEnd w:id="70"/>
    <w:bookmarkStart w:id="71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66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66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66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66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1"/>
    <w:bookmarkStart w:id="75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75"/>
    <w:bookmarkStart w:id="76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67"/>
        </w:numPr>
      </w:pPr>
      <w:r>
        <w:t xml:space="preserve">One letter</w:t>
      </w:r>
    </w:p>
    <w:p>
      <w:pPr>
        <w:pStyle w:val="Compact"/>
        <w:numPr>
          <w:ilvl w:val="0"/>
          <w:numId w:val="1067"/>
        </w:numPr>
      </w:pPr>
      <w:r>
        <w:t xml:space="preserve">Two digits</w:t>
      </w:r>
    </w:p>
    <w:p>
      <w:pPr>
        <w:pStyle w:val="Compact"/>
        <w:numPr>
          <w:ilvl w:val="0"/>
          <w:numId w:val="1067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76"/>
    <w:bookmarkStart w:id="77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68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68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I22</w:t>
      </w:r>
    </w:p>
    <w:bookmarkEnd w:id="77"/>
    <w:bookmarkStart w:id="78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7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71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71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71"/>
        </w:numPr>
      </w:pPr>
      <w:r>
        <w:t xml:space="preserve">This will find any ATC code.</w:t>
      </w:r>
    </w:p>
    <w:p>
      <w:pPr>
        <w:numPr>
          <w:ilvl w:val="0"/>
          <w:numId w:val="1071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71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71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78"/>
    <w:bookmarkStart w:id="79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72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73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Stringfish seems technically sperior but is less maintained (more of a hobby project).</w:t>
      </w:r>
    </w:p>
    <w:bookmarkEnd w:id="79"/>
    <w:bookmarkStart w:id="81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74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75"/>
        </w:numPr>
      </w:pPr>
      <w:r>
        <w:t xml:space="preserve">This is even forgotten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0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74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1"/>
    <w:bookmarkStart w:id="82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76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77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77"/>
        </w:numPr>
      </w:pPr>
      <w:r>
        <w:t xml:space="preserve">Are commonly used for:</w:t>
      </w:r>
    </w:p>
    <w:p>
      <w:pPr>
        <w:pStyle w:val="Compact"/>
        <w:numPr>
          <w:ilvl w:val="1"/>
          <w:numId w:val="1078"/>
        </w:numPr>
      </w:pPr>
      <w:r>
        <w:t xml:space="preserve">Risk adjustment</w:t>
      </w:r>
    </w:p>
    <w:p>
      <w:pPr>
        <w:pStyle w:val="Compact"/>
        <w:numPr>
          <w:ilvl w:val="1"/>
          <w:numId w:val="1078"/>
        </w:numPr>
      </w:pPr>
      <w:r>
        <w:t xml:space="preserve">Prognostic modelling</w:t>
      </w:r>
    </w:p>
    <w:p>
      <w:pPr>
        <w:pStyle w:val="Compact"/>
        <w:numPr>
          <w:ilvl w:val="1"/>
          <w:numId w:val="1078"/>
        </w:numPr>
      </w:pPr>
      <w:r>
        <w:t xml:space="preserve">Confounding control in observational studies</w:t>
      </w:r>
    </w:p>
    <w:bookmarkEnd w:id="82"/>
    <w:bookmarkStart w:id="86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7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79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86"/>
    <w:bookmarkStart w:id="97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0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0"/>
        </w:numPr>
      </w:pPr>
      <w:r>
        <w:t xml:space="preserve">Common applications include: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81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  <w:r>
        <w:t xml:space="preserve"> </w:t>
      </w:r>
      <w:r>
        <w:t xml:space="preserve">- Standardised comorbidity adjustment</w:t>
      </w:r>
      <w:r>
        <w:t xml:space="preserve"> </w:t>
      </w:r>
      <w:r>
        <w:t xml:space="preserve">- Transparent and reproducible case definitions</w:t>
      </w:r>
      <w:r>
        <w:t xml:space="preserve"> </w:t>
      </w:r>
      <w:r>
        <w:t xml:space="preserve">- Consistent grouping across studies</w:t>
      </w:r>
    </w:p>
    <w:p>
      <w:r>
        <w:pict>
          <v:rect style="width:0;height:1.5pt" o:hralign="center" o:hrstd="t" o:hr="t"/>
        </w:pict>
      </w:r>
    </w:p>
    <w:bookmarkStart w:id="96" w:name="refs"/>
    <w:bookmarkStart w:id="88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87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88"/>
    <w:bookmarkStart w:id="90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89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0"/>
    <w:bookmarkStart w:id="92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1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2"/>
    <w:bookmarkStart w:id="93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3"/>
    <w:bookmarkStart w:id="95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5"/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codes</dc:title>
  <dc:creator/>
  <cp:keywords/>
  <dcterms:created xsi:type="dcterms:W3CDTF">2026-03-05T16:41:17Z</dcterms:created>
  <dcterms:modified xsi:type="dcterms:W3CDTF">2026-03-05T16:41:17Z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