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accassible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reimbursment (insurense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organisations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helth status, questionaires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similair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organisations)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similair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allaowed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2026-01-21T11:56:39Z</dcterms:created>
  <dcterms:modified xsi:type="dcterms:W3CDTF">2026-01-21T11:56:39Z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1), (Ludvigsson et al. 2009), (Laugesen et al. 2021)</vt:lpwstr>
  </property>
  <property fmtid="{D5CDD505-2E9C-101B-9397-08002B2CF9AE}" pid="9" name="subtitle">
    <vt:lpwstr>Overwiev of this part of the course</vt:lpwstr>
  </property>
  <property fmtid="{D5CDD505-2E9C-101B-9397-08002B2CF9AE}" pid="10" name="toc-title">
    <vt:lpwstr>Table of contents</vt:lpwstr>
  </property>
</Properties>
</file>