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Swedish legislation</w:t>
      </w:r>
    </w:p>
    <w:p>
      <w:pPr>
        <w:pStyle w:val="Subtitle"/>
      </w:pPr>
      <w:r>
        <w:t xml:space="preserve">Laws and regulation</w:t>
      </w:r>
    </w:p>
    <w:bookmarkStart w:id="48" w:name="swedish-law"/>
    <w:p>
      <w:pPr>
        <w:pStyle w:val="Heading1"/>
      </w:pPr>
      <w:r>
        <w:t xml:space="preserve">Swedish law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Swedish law</w:t>
            </w:r>
          </w:p>
        </w:tc>
      </w:tr>
      <w:tr>
        <w:trPr>
          <w:cantSplit/>
        </w:trPr>
        <w:tc>
          <w:tcPr>
            <w:tcMar>
              <w:top w:w="108" w:type="dxa"/>
              <w:bottom w:w="108" w:type="dxa"/>
            </w:tcMar>
          </w:tcPr>
          <w:p>
            <w:pPr>
              <w:pStyle w:val="BodyText"/>
            </w:pPr>
            <w:pPr>
              <w:spacing w:before="16" w:after="16"/>
            </w:pPr>
            <w:r>
              <w:t xml:space="preserve">The Swedish legislation will be discussed as an example. It will be examined through discussions in a later seminar (where you will have access to the information below). You are not required to memorize individual laws or specific legal provisions.</w:t>
            </w:r>
          </w:p>
          <w:p/>
        </w:tc>
      </w:tr>
    </w:tbl>
    <w:bookmarkStart w:id="28" w:name="backgrund-of-swedish-law"/>
    <w:p>
      <w:pPr>
        <w:pStyle w:val="Heading2"/>
      </w:pPr>
      <w:r>
        <w:t xml:space="preserve">Backgrund of Swedish law</w:t>
      </w:r>
    </w:p>
    <w:p>
      <w:pPr>
        <w:pStyle w:val="FirstParagraph"/>
      </w:pPr>
      <w:hyperlink r:id="rId23">
        <w:r>
          <w:rPr>
            <w:rStyle w:val="Hyperlink"/>
          </w:rPr>
          <w:t xml:space="preserve">Optional reading</w:t>
        </w:r>
      </w:hyperlink>
    </w:p>
    <w:p>
      <w:pPr>
        <w:pStyle w:val="Compact"/>
        <w:numPr>
          <w:ilvl w:val="0"/>
          <w:numId w:val="1001"/>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2"/>
        </w:numPr>
      </w:pPr>
      <w:r>
        <w:t xml:space="preserve">Not a</w:t>
      </w:r>
      <w:r>
        <w:t xml:space="preserve"> </w:t>
      </w:r>
      <w:r>
        <w:t xml:space="preserve">“constitution”</w:t>
      </w:r>
    </w:p>
    <w:p>
      <w:pPr>
        <w:pStyle w:val="Compact"/>
        <w:numPr>
          <w:ilvl w:val="0"/>
          <w:numId w:val="1001"/>
        </w:numPr>
      </w:pPr>
      <w:r>
        <w:rPr>
          <w:b/>
          <w:bCs/>
        </w:rPr>
        <w:t xml:space="preserve">Ordinary laws</w:t>
      </w:r>
      <w:r>
        <w:t xml:space="preserve"> </w:t>
      </w:r>
      <w:r>
        <w:t xml:space="preserve">(parliament)</w:t>
      </w:r>
    </w:p>
    <w:p>
      <w:pPr>
        <w:pStyle w:val="Compact"/>
        <w:numPr>
          <w:ilvl w:val="1"/>
          <w:numId w:val="1003"/>
        </w:numPr>
      </w:pPr>
      <w:r>
        <w:t xml:space="preserve">New ones all the time</w:t>
      </w:r>
    </w:p>
    <w:p>
      <w:pPr>
        <w:pStyle w:val="Compact"/>
        <w:numPr>
          <w:ilvl w:val="1"/>
          <w:numId w:val="1003"/>
        </w:numPr>
      </w:pPr>
      <w:r>
        <w:t xml:space="preserve">New laws to update existing laws</w:t>
      </w:r>
    </w:p>
    <w:p>
      <w:pPr>
        <w:pStyle w:val="Compact"/>
        <w:numPr>
          <w:ilvl w:val="0"/>
          <w:numId w:val="1001"/>
        </w:numPr>
      </w:pPr>
      <w:r>
        <w:t xml:space="preserve">Published in</w:t>
      </w:r>
      <w:r>
        <w:t xml:space="preserve"> </w:t>
      </w:r>
      <w:hyperlink r:id="rId24">
        <w:r>
          <w:rPr>
            <w:rStyle w:val="Hyperlink"/>
          </w:rPr>
          <w:t xml:space="preserve">Svensk författningsamling, SFS</w:t>
        </w:r>
      </w:hyperlink>
    </w:p>
    <w:p>
      <w:pPr>
        <w:pStyle w:val="Compact"/>
        <w:numPr>
          <w:ilvl w:val="1"/>
          <w:numId w:val="1004"/>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1"/>
        </w:numPr>
      </w:pPr>
      <w:r>
        <w:rPr>
          <w:b/>
          <w:bCs/>
        </w:rPr>
        <w:t xml:space="preserve">ordinances</w:t>
      </w:r>
      <w:r>
        <w:t xml:space="preserve"> </w:t>
      </w:r>
      <w:r>
        <w:t xml:space="preserve">(</w:t>
      </w:r>
      <w:r>
        <w:t xml:space="preserve">“förordning”</w:t>
      </w:r>
      <w:r>
        <w:t xml:space="preserve">) from the goverment to implement laws</w:t>
      </w:r>
    </w:p>
    <w:p>
      <w:pPr>
        <w:pStyle w:val="Compact"/>
        <w:numPr>
          <w:ilvl w:val="0"/>
          <w:numId w:val="1001"/>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6" name="Picture"/>
            <a:graphic>
              <a:graphicData uri="http://schemas.openxmlformats.org/drawingml/2006/picture">
                <pic:pic>
                  <pic:nvPicPr>
                    <pic:cNvPr descr="images/paste-3.png" id="27" name="Picture"/>
                    <pic:cNvPicPr>
                      <a:picLocks noChangeArrowheads="1" noChangeAspect="1"/>
                    </pic:cNvPicPr>
                  </pic:nvPicPr>
                  <pic:blipFill>
                    <a:blip r:embed="rId25"/>
                    <a:stretch>
                      <a:fillRect/>
                    </a:stretch>
                  </pic:blipFill>
                  <pic:spPr bwMode="auto">
                    <a:xfrm>
                      <a:off x="0" y="0"/>
                      <a:ext cx="5334000" cy="2461245"/>
                    </a:xfrm>
                    <a:prstGeom prst="rect">
                      <a:avLst/>
                    </a:prstGeom>
                    <a:noFill/>
                    <a:ln w="9525">
                      <a:noFill/>
                      <a:headEnd/>
                      <a:tailEnd/>
                    </a:ln>
                  </pic:spPr>
                </pic:pic>
              </a:graphicData>
            </a:graphic>
          </wp:inline>
        </w:drawing>
      </w:r>
    </w:p>
    <w:bookmarkEnd w:id="28"/>
    <w:bookmarkStart w:id="29" w:name="two-main-branches-of-law"/>
    <w:p>
      <w:pPr>
        <w:pStyle w:val="Heading2"/>
      </w:pPr>
      <w:r>
        <w:t xml:space="preserve">Two main branches of law</w:t>
      </w:r>
    </w:p>
    <w:p>
      <w:pPr>
        <w:pStyle w:val="Compact"/>
        <w:numPr>
          <w:ilvl w:val="0"/>
          <w:numId w:val="1005"/>
        </w:numPr>
      </w:pPr>
      <w:r>
        <w:t xml:space="preserve">Civil and criminal law:</w:t>
      </w:r>
    </w:p>
    <w:p>
      <w:pPr>
        <w:pStyle w:val="Compact"/>
        <w:numPr>
          <w:ilvl w:val="1"/>
          <w:numId w:val="1006"/>
        </w:numPr>
      </w:pPr>
      <w:r>
        <w:t xml:space="preserve">state what you can not do (everything else is</w:t>
      </w:r>
      <w:r>
        <w:t xml:space="preserve"> </w:t>
      </w:r>
      <w:r>
        <w:t xml:space="preserve">“legal”</w:t>
      </w:r>
      <w:r>
        <w:t xml:space="preserve">)</w:t>
      </w:r>
    </w:p>
    <w:p>
      <w:pPr>
        <w:pStyle w:val="Compact"/>
        <w:numPr>
          <w:ilvl w:val="1"/>
          <w:numId w:val="1006"/>
        </w:numPr>
      </w:pPr>
      <w:r>
        <w:t xml:space="preserve">Handled by ordinary courts</w:t>
      </w:r>
    </w:p>
    <w:p>
      <w:pPr>
        <w:pStyle w:val="Compact"/>
        <w:numPr>
          <w:ilvl w:val="1"/>
          <w:numId w:val="1006"/>
        </w:numPr>
      </w:pPr>
      <w:r>
        <w:t xml:space="preserve">Ex: Brottsbalken kap 20 om tjänstefel m.m. (The Swedish Penal Code (Brottsbalken), Chapter 20 — Offences Relating to Public Office.)</w:t>
      </w:r>
    </w:p>
    <w:p>
      <w:pPr>
        <w:pStyle w:val="Compact"/>
        <w:numPr>
          <w:ilvl w:val="0"/>
          <w:numId w:val="1005"/>
        </w:numPr>
      </w:pPr>
      <w:r>
        <w:t xml:space="preserve">Public law: relationship between individuals and the state etc</w:t>
      </w:r>
    </w:p>
    <w:p>
      <w:pPr>
        <w:pStyle w:val="Compact"/>
        <w:numPr>
          <w:ilvl w:val="1"/>
          <w:numId w:val="1007"/>
        </w:numPr>
      </w:pPr>
      <w:r>
        <w:t xml:space="preserve">state what the public authorities must and can do (everything else is</w:t>
      </w:r>
      <w:r>
        <w:t xml:space="preserve"> </w:t>
      </w:r>
      <w:r>
        <w:t xml:space="preserve">“illegal”</w:t>
      </w:r>
      <w:r>
        <w:t xml:space="preserve">)</w:t>
      </w:r>
    </w:p>
    <w:p>
      <w:pPr>
        <w:pStyle w:val="Compact"/>
        <w:numPr>
          <w:ilvl w:val="1"/>
          <w:numId w:val="1007"/>
        </w:numPr>
      </w:pPr>
      <w:r>
        <w:t xml:space="preserve">Handled by administrative courts</w:t>
      </w:r>
    </w:p>
    <w:p>
      <w:pPr>
        <w:pStyle w:val="Compact"/>
        <w:numPr>
          <w:ilvl w:val="1"/>
          <w:numId w:val="1007"/>
        </w:numPr>
      </w:pPr>
      <w:r>
        <w:t xml:space="preserve">What we mostly care of here</w:t>
      </w:r>
    </w:p>
    <w:bookmarkEnd w:id="29"/>
    <w:bookmarkStart w:id="30" w:name="tryckfrihetsförordningen-tf"/>
    <w:p>
      <w:pPr>
        <w:pStyle w:val="Heading2"/>
      </w:pPr>
      <w:r>
        <w:t xml:space="preserve">Tryckfrihetsförordningen (TF)</w:t>
      </w:r>
    </w:p>
    <w:p>
      <w:pPr>
        <w:pStyle w:val="Compact"/>
        <w:numPr>
          <w:ilvl w:val="0"/>
          <w:numId w:val="1008"/>
        </w:numPr>
      </w:pPr>
      <w:r>
        <w:t xml:space="preserve">World’s oldest freedom of the press law (since 1766)</w:t>
      </w:r>
    </w:p>
    <w:p>
      <w:pPr>
        <w:pStyle w:val="Compact"/>
        <w:numPr>
          <w:ilvl w:val="0"/>
          <w:numId w:val="1008"/>
        </w:numPr>
      </w:pPr>
      <w:r>
        <w:t xml:space="preserve">Chapter 2: Public access to official documents</w:t>
      </w:r>
    </w:p>
    <w:p>
      <w:pPr>
        <w:pStyle w:val="Compact"/>
        <w:numPr>
          <w:ilvl w:val="0"/>
          <w:numId w:val="1008"/>
        </w:numPr>
      </w:pPr>
      <w:r>
        <w:t xml:space="preserve">Applies to public authorities and institutions</w:t>
      </w:r>
    </w:p>
    <w:p>
      <w:pPr>
        <w:pStyle w:val="Compact"/>
        <w:numPr>
          <w:ilvl w:val="1"/>
          <w:numId w:val="1009"/>
        </w:numPr>
      </w:pPr>
      <w:r>
        <w:t xml:space="preserve">Including health care registers and medical records held by public authorities</w:t>
      </w:r>
    </w:p>
    <w:p>
      <w:pPr>
        <w:pStyle w:val="Compact"/>
        <w:numPr>
          <w:ilvl w:val="0"/>
          <w:numId w:val="1008"/>
        </w:numPr>
      </w:pPr>
      <w:r>
        <w:t xml:space="preserve">Everyone has the right to access official documents (TF 2.1)</w:t>
      </w:r>
    </w:p>
    <w:p>
      <w:pPr>
        <w:pStyle w:val="Compact"/>
        <w:numPr>
          <w:ilvl w:val="0"/>
          <w:numId w:val="1008"/>
        </w:numPr>
      </w:pPr>
      <w:r>
        <w:t xml:space="preserve">but there are exceptions (TF 2.2)</w:t>
      </w:r>
    </w:p>
    <w:p>
      <w:pPr>
        <w:pStyle w:val="Compact"/>
        <w:numPr>
          <w:ilvl w:val="1"/>
          <w:numId w:val="1010"/>
        </w:numPr>
      </w:pPr>
      <w:r>
        <w:t xml:space="preserve">e.g., if disclosure would violate privacy or national security</w:t>
      </w:r>
    </w:p>
    <w:p>
      <w:pPr>
        <w:pStyle w:val="Compact"/>
        <w:numPr>
          <w:ilvl w:val="1"/>
          <w:numId w:val="1010"/>
        </w:numPr>
      </w:pPr>
      <w:r>
        <w:t xml:space="preserve">if so, the goverment has the right to provide ordinary laws that restrict access (which they do …)</w:t>
      </w:r>
    </w:p>
    <w:bookmarkEnd w:id="30"/>
    <w:bookmarkStart w:id="31" w:name="offentlighets--och-sekretesslagen-osl"/>
    <w:p>
      <w:pPr>
        <w:pStyle w:val="Heading2"/>
      </w:pPr>
      <w:r>
        <w:t xml:space="preserve">Offentlighets- och sekretesslagen (OSL)</w:t>
      </w:r>
    </w:p>
    <w:p>
      <w:pPr>
        <w:pStyle w:val="Compact"/>
        <w:numPr>
          <w:ilvl w:val="0"/>
          <w:numId w:val="1011"/>
        </w:numPr>
      </w:pPr>
      <w:r>
        <w:t xml:space="preserve">Law that regulates public access to official documents and secrecy</w:t>
      </w:r>
    </w:p>
    <w:p>
      <w:pPr>
        <w:pStyle w:val="Compact"/>
        <w:numPr>
          <w:ilvl w:val="0"/>
          <w:numId w:val="1011"/>
        </w:numPr>
      </w:pPr>
      <w:r>
        <w:t xml:space="preserve">Applies to public authorities and institutions</w:t>
      </w:r>
    </w:p>
    <w:p>
      <w:pPr>
        <w:pStyle w:val="Compact"/>
        <w:numPr>
          <w:ilvl w:val="0"/>
          <w:numId w:val="1011"/>
        </w:numPr>
      </w:pPr>
      <w:r>
        <w:t xml:space="preserve">Defines what information is considered secret and under what circumstances</w:t>
      </w:r>
    </w:p>
    <w:bookmarkEnd w:id="31"/>
    <w:bookmarkStart w:id="32" w:name="osl-chap-21"/>
    <w:p>
      <w:pPr>
        <w:pStyle w:val="Heading2"/>
      </w:pPr>
      <w:r>
        <w:t xml:space="preserve">OSL Chap 21</w:t>
      </w:r>
    </w:p>
    <w:p>
      <w:pPr>
        <w:pStyle w:val="FirstParagraph"/>
      </w:pPr>
      <w:r>
        <w:t xml:space="preserve">Secrecy for private individuals’ personal circumstances</w:t>
      </w:r>
      <w:r>
        <w:t xml:space="preserve"> </w:t>
      </w:r>
      <w:r>
        <w:rPr>
          <w:b/>
          <w:bCs/>
        </w:rPr>
        <w:t xml:space="preserve">no mather the context</w:t>
      </w:r>
    </w:p>
    <w:p>
      <w:pPr>
        <w:pStyle w:val="Compact"/>
        <w:numPr>
          <w:ilvl w:val="0"/>
          <w:numId w:val="1012"/>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offences,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2"/>
    <w:bookmarkStart w:id="33"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3"/>
        </w:numPr>
      </w:pPr>
      <w:r>
        <w:t xml:space="preserve">Special research databases etc</w:t>
      </w:r>
    </w:p>
    <w:p>
      <w:pPr>
        <w:pStyle w:val="Compact"/>
        <w:numPr>
          <w:ilvl w:val="0"/>
          <w:numId w:val="1013"/>
        </w:numPr>
      </w:pPr>
      <w:r>
        <w:t xml:space="preserve">Some regulations for research ethics boards</w:t>
      </w:r>
    </w:p>
    <w:bookmarkEnd w:id="33"/>
    <w:bookmarkStart w:id="34"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fertilisation, abortion, sterilisation, circumcision, and measures to prevent communicable diseases.</w:t>
      </w:r>
    </w:p>
    <w:p>
      <w:pPr>
        <w:pStyle w:val="Compact"/>
        <w:numPr>
          <w:ilvl w:val="0"/>
          <w:numId w:val="1014"/>
        </w:numPr>
      </w:pPr>
      <w:r>
        <w:t xml:space="preserve">Exceptions exists,</w:t>
      </w:r>
    </w:p>
    <w:p>
      <w:pPr>
        <w:pStyle w:val="Compact"/>
        <w:numPr>
          <w:ilvl w:val="1"/>
          <w:numId w:val="1015"/>
        </w:numPr>
      </w:pPr>
      <w:r>
        <w:t xml:space="preserve">for example to submit medical patient data to quality registers</w:t>
      </w:r>
    </w:p>
    <w:p>
      <w:pPr>
        <w:pStyle w:val="Compact"/>
        <w:numPr>
          <w:ilvl w:val="1"/>
          <w:numId w:val="1015"/>
        </w:numPr>
      </w:pPr>
      <w:r>
        <w:t xml:space="preserve">to share data between public organisations for research purposes or statistics (OFS 25.11 p. 5).</w:t>
      </w:r>
    </w:p>
    <w:bookmarkEnd w:id="34"/>
    <w:bookmarkStart w:id="35"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6"/>
        </w:numPr>
      </w:pPr>
      <w:r>
        <w:t xml:space="preserve">This would apply to data sharing for research purposes when there is a legal basis for that</w:t>
      </w:r>
    </w:p>
    <w:bookmarkEnd w:id="35"/>
    <w:bookmarkStart w:id="36" w:name="patientdatalagen-pdl"/>
    <w:p>
      <w:pPr>
        <w:pStyle w:val="Heading2"/>
      </w:pPr>
      <w:r>
        <w:t xml:space="preserve">Patientdatalagen (PDL)</w:t>
      </w:r>
    </w:p>
    <w:p>
      <w:pPr>
        <w:pStyle w:val="FirstParagraph"/>
      </w:pPr>
      <w:r>
        <w:t xml:space="preserve">The Patient Data Act (PDL)</w:t>
      </w:r>
    </w:p>
    <w:p>
      <w:pPr>
        <w:pStyle w:val="Compact"/>
        <w:numPr>
          <w:ilvl w:val="0"/>
          <w:numId w:val="1017"/>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7"/>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7"/>
        </w:numPr>
      </w:pPr>
      <w:r>
        <w:t xml:space="preserve">Main objectives:</w:t>
      </w:r>
    </w:p>
    <w:p>
      <w:pPr>
        <w:pStyle w:val="Compact"/>
        <w:numPr>
          <w:ilvl w:val="1"/>
          <w:numId w:val="1018"/>
        </w:numPr>
      </w:pPr>
      <w:r>
        <w:t xml:space="preserve">Protect patient privacy</w:t>
      </w:r>
    </w:p>
    <w:p>
      <w:pPr>
        <w:pStyle w:val="Compact"/>
        <w:numPr>
          <w:ilvl w:val="1"/>
          <w:numId w:val="1018"/>
        </w:numPr>
      </w:pPr>
      <w:r>
        <w:t xml:space="preserve">Ensure safe and effective healthcare</w:t>
      </w:r>
    </w:p>
    <w:p>
      <w:pPr>
        <w:pStyle w:val="Compact"/>
        <w:numPr>
          <w:ilvl w:val="1"/>
          <w:numId w:val="1018"/>
        </w:numPr>
      </w:pPr>
      <w:r>
        <w:t xml:space="preserve">Enable</w:t>
      </w:r>
      <w:r>
        <w:t xml:space="preserve"> </w:t>
      </w:r>
      <w:r>
        <w:rPr>
          <w:b/>
          <w:bCs/>
        </w:rPr>
        <w:t xml:space="preserve">secondary use</w:t>
      </w:r>
      <w:r>
        <w:t xml:space="preserve"> </w:t>
      </w:r>
      <w:r>
        <w:t xml:space="preserve">of health data under strict conditions</w:t>
      </w:r>
    </w:p>
    <w:bookmarkEnd w:id="36"/>
    <w:bookmarkStart w:id="37" w:name="chapter-7-pdl"/>
    <w:p>
      <w:pPr>
        <w:pStyle w:val="Heading2"/>
      </w:pPr>
      <w:r>
        <w:t xml:space="preserve">Chapter 7 PDL</w:t>
      </w:r>
    </w:p>
    <w:p>
      <w:pPr>
        <w:pStyle w:val="FirstParagraph"/>
      </w:pPr>
      <w:r>
        <w:t xml:space="preserve">National and regionel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19"/>
        </w:numPr>
      </w:pPr>
      <w:r>
        <w:t xml:space="preserve">the production of</w:t>
      </w:r>
      <w:r>
        <w:t xml:space="preserve"> </w:t>
      </w:r>
      <w:r>
        <w:rPr>
          <w:b/>
          <w:bCs/>
        </w:rPr>
        <w:t xml:space="preserve">statistics</w:t>
      </w:r>
      <w:r>
        <w:t xml:space="preserve">,</w:t>
      </w:r>
    </w:p>
    <w:p>
      <w:pPr>
        <w:pStyle w:val="Compact"/>
        <w:numPr>
          <w:ilvl w:val="0"/>
          <w:numId w:val="1019"/>
        </w:numPr>
      </w:pPr>
      <w:r>
        <w:t xml:space="preserve">estimating numbers for the planning of clinical research,</w:t>
      </w:r>
    </w:p>
    <w:p>
      <w:pPr>
        <w:pStyle w:val="Compact"/>
        <w:numPr>
          <w:ilvl w:val="0"/>
          <w:numId w:val="1019"/>
        </w:numPr>
      </w:pPr>
      <w:r>
        <w:rPr>
          <w:b/>
          <w:bCs/>
        </w:rPr>
        <w:t xml:space="preserve">research within health and medical care</w:t>
      </w:r>
      <w:r>
        <w:t xml:space="preserve">,</w:t>
      </w:r>
    </w:p>
    <w:p>
      <w:pPr>
        <w:pStyle w:val="Compact"/>
        <w:numPr>
          <w:ilvl w:val="0"/>
          <w:numId w:val="1019"/>
        </w:numPr>
      </w:pPr>
      <w:r>
        <w:t xml:space="preserve">disclosure to a party that will use the data for purposes referred to in Sections 1 and 3 or in Section 4, and</w:t>
      </w:r>
    </w:p>
    <w:p>
      <w:pPr>
        <w:pStyle w:val="Compact"/>
        <w:numPr>
          <w:ilvl w:val="0"/>
          <w:numId w:val="1019"/>
        </w:numPr>
      </w:pPr>
      <w:r>
        <w:t xml:space="preserve">…</w:t>
      </w:r>
    </w:p>
    <w:bookmarkEnd w:id="37"/>
    <w:bookmarkStart w:id="38" w:name="lag-om-hälsodataregister-sfs-1998543"/>
    <w:p>
      <w:pPr>
        <w:pStyle w:val="Heading2"/>
      </w:pPr>
      <w:r>
        <w:t xml:space="preserve">Lag om hälsodataregister (SFS 1998:543)</w:t>
      </w:r>
    </w:p>
    <w:p>
      <w:pPr>
        <w:pStyle w:val="FirstParagraph"/>
      </w:pPr>
      <w:r>
        <w:t xml:space="preserve">This law regulates health data registers outside the health and medical care system. A new law is being proposed to replace this one.</w:t>
      </w:r>
    </w:p>
    <w:p>
      <w:pPr>
        <w:pStyle w:val="BodyText"/>
      </w:pPr>
      <w:r>
        <w:t xml:space="preserve">§ 3: Personal data in a health data register may be processed for for the following purposes:</w:t>
      </w:r>
    </w:p>
    <w:p>
      <w:pPr>
        <w:pStyle w:val="Compact"/>
        <w:numPr>
          <w:ilvl w:val="0"/>
          <w:numId w:val="1020"/>
        </w:numPr>
      </w:pPr>
      <w:r>
        <w:t xml:space="preserve">the production of statistics,</w:t>
      </w:r>
    </w:p>
    <w:p>
      <w:pPr>
        <w:pStyle w:val="Compact"/>
        <w:numPr>
          <w:ilvl w:val="0"/>
          <w:numId w:val="1020"/>
        </w:numPr>
      </w:pPr>
      <w:r>
        <w:t xml:space="preserve">follow-up, evaluation and quality assurance of health and medical care, and</w:t>
      </w:r>
    </w:p>
    <w:p>
      <w:pPr>
        <w:pStyle w:val="Compact"/>
        <w:numPr>
          <w:ilvl w:val="0"/>
          <w:numId w:val="1020"/>
        </w:numPr>
      </w:pPr>
      <w:r>
        <w:t xml:space="preserve">research and epidemiological studies</w:t>
      </w:r>
    </w:p>
    <w:bookmarkEnd w:id="38"/>
    <w:bookmarkStart w:id="39"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39"/>
    <w:bookmarkStart w:id="40" w:name="arkivdatalagen-adl"/>
    <w:p>
      <w:pPr>
        <w:pStyle w:val="Heading2"/>
      </w:pPr>
      <w:r>
        <w:t xml:space="preserve">Arkivdatalagen (ADL)</w:t>
      </w:r>
    </w:p>
    <w:p>
      <w:pPr>
        <w:pStyle w:val="Compact"/>
        <w:numPr>
          <w:ilvl w:val="0"/>
          <w:numId w:val="1021"/>
        </w:numPr>
      </w:pPr>
      <w:r>
        <w:t xml:space="preserve">Regulates the management of public records and archives</w:t>
      </w:r>
    </w:p>
    <w:p>
      <w:pPr>
        <w:pStyle w:val="Compact"/>
        <w:numPr>
          <w:ilvl w:val="0"/>
          <w:numId w:val="1021"/>
        </w:numPr>
      </w:pPr>
      <w:r>
        <w:t xml:space="preserve">Applies to public authorities and institutions</w:t>
      </w:r>
    </w:p>
    <w:p>
      <w:pPr>
        <w:pStyle w:val="Compact"/>
        <w:numPr>
          <w:ilvl w:val="0"/>
          <w:numId w:val="1021"/>
        </w:numPr>
      </w:pPr>
      <w:r>
        <w:t xml:space="preserve">Differnt authorities then have different rules for how long data must be kept</w:t>
      </w:r>
    </w:p>
    <w:p>
      <w:pPr>
        <w:pStyle w:val="Compact"/>
        <w:numPr>
          <w:ilvl w:val="1"/>
          <w:numId w:val="1022"/>
        </w:numPr>
      </w:pPr>
      <w:r>
        <w:t xml:space="preserve">For example healthcare data is often required to be kept for at least 10 years</w:t>
      </w:r>
    </w:p>
    <w:bookmarkEnd w:id="40"/>
    <w:bookmarkStart w:id="42" w:name="gdpr-and-swedish-law"/>
    <w:p>
      <w:pPr>
        <w:pStyle w:val="Heading2"/>
      </w:pPr>
      <w:r>
        <w:t xml:space="preserve">GDPR and Swedish law</w:t>
      </w:r>
    </w:p>
    <w:p>
      <w:pPr>
        <w:pStyle w:val="Compact"/>
        <w:numPr>
          <w:ilvl w:val="0"/>
          <w:numId w:val="1023"/>
        </w:numPr>
      </w:pPr>
      <w:r>
        <w:t xml:space="preserve">GDPR is directly applicable in Sweden</w:t>
      </w:r>
    </w:p>
    <w:p>
      <w:pPr>
        <w:pStyle w:val="Compact"/>
        <w:numPr>
          <w:ilvl w:val="0"/>
          <w:numId w:val="1023"/>
        </w:numPr>
      </w:pPr>
      <w:r>
        <w:t xml:space="preserve">There are refereces to GDPR in Swedish laws such as PDL and OSL</w:t>
      </w:r>
    </w:p>
    <w:p>
      <w:pPr>
        <w:pStyle w:val="Compact"/>
        <w:numPr>
          <w:ilvl w:val="0"/>
          <w:numId w:val="1023"/>
        </w:numPr>
      </w:pPr>
      <w:r>
        <w:t xml:space="preserve">Swedish laws may provide additional regulations and requirements beyond GDPR</w:t>
      </w:r>
    </w:p>
    <w:p>
      <w:pPr>
        <w:pStyle w:val="Compact"/>
        <w:numPr>
          <w:ilvl w:val="0"/>
          <w:numId w:val="1023"/>
        </w:numPr>
      </w:pPr>
      <w:r>
        <w:t xml:space="preserve">Data protection authorities in Sweden:</w:t>
      </w:r>
      <w:r>
        <w:t xml:space="preserve"> </w:t>
      </w:r>
      <w:hyperlink r:id="rId41">
        <w:r>
          <w:rPr>
            <w:rStyle w:val="Hyperlink"/>
          </w:rPr>
          <w:t xml:space="preserve">Integritetsskyddsmyndigheten (IMY)</w:t>
        </w:r>
      </w:hyperlink>
    </w:p>
    <w:p>
      <w:pPr>
        <w:pStyle w:val="Compact"/>
        <w:numPr>
          <w:ilvl w:val="0"/>
          <w:numId w:val="1023"/>
        </w:numPr>
      </w:pPr>
      <w:r>
        <w:t xml:space="preserve">Should be easy to collaborate across EU borders due to GDPR, but more difficult with non-EU countries</w:t>
      </w:r>
    </w:p>
    <w:bookmarkEnd w:id="42"/>
    <w:bookmarkStart w:id="47" w:name="etikprövningslagen-epl"/>
    <w:p>
      <w:pPr>
        <w:pStyle w:val="Heading2"/>
      </w:pPr>
      <w:r>
        <w:t xml:space="preserve">Etikprövningslagen (EPL)</w:t>
      </w:r>
    </w:p>
    <w:p>
      <w:pPr>
        <w:pStyle w:val="Compact"/>
        <w:numPr>
          <w:ilvl w:val="0"/>
          <w:numId w:val="1024"/>
        </w:numPr>
      </w:pPr>
      <w:r>
        <w:t xml:space="preserve">Regulates ethical review of research involving humans (including their data!)</w:t>
      </w:r>
    </w:p>
    <w:p>
      <w:pPr>
        <w:pStyle w:val="Compact"/>
        <w:numPr>
          <w:ilvl w:val="1"/>
          <w:numId w:val="1025"/>
        </w:numPr>
      </w:pPr>
      <w:r>
        <w:t xml:space="preserve">Had received some critisism and might be revised</w:t>
      </w:r>
    </w:p>
    <w:p>
      <w:pPr>
        <w:pStyle w:val="Compact"/>
        <w:numPr>
          <w:ilvl w:val="0"/>
          <w:numId w:val="1024"/>
        </w:numPr>
      </w:pPr>
      <w:r>
        <w:t xml:space="preserve">Applies to research projects conducted in Sweden</w:t>
      </w:r>
    </w:p>
    <w:p>
      <w:pPr>
        <w:pStyle w:val="Compact"/>
        <w:numPr>
          <w:ilvl w:val="0"/>
          <w:numId w:val="1024"/>
        </w:numPr>
      </w:pPr>
      <w:r>
        <w:t xml:space="preserve">Requires ethical review and approval by an ethics review board</w:t>
      </w:r>
    </w:p>
    <w:p>
      <w:pPr>
        <w:pStyle w:val="Compact"/>
        <w:numPr>
          <w:ilvl w:val="0"/>
          <w:numId w:val="1024"/>
        </w:numPr>
      </w:pPr>
      <w:r>
        <w:t xml:space="preserve">Aims to protect the rights, safety, and well-being of research participants</w:t>
      </w:r>
    </w:p>
    <w:p>
      <w:pPr>
        <w:pStyle w:val="Compact"/>
        <w:numPr>
          <w:ilvl w:val="0"/>
          <w:numId w:val="1024"/>
        </w:numPr>
      </w:pPr>
      <w:r>
        <w:t xml:space="preserve">Based on the Declaration of Helsinki and other international ethical guidelines</w:t>
      </w:r>
    </w:p>
    <w:p>
      <w:pPr>
        <w:pStyle w:val="Compact"/>
        <w:numPr>
          <w:ilvl w:val="0"/>
          <w:numId w:val="1024"/>
        </w:numPr>
      </w:pPr>
      <w:r>
        <w:t xml:space="preserve">One application for each new research project</w:t>
      </w:r>
    </w:p>
    <w:p>
      <w:pPr>
        <w:pStyle w:val="Compact"/>
        <w:numPr>
          <w:ilvl w:val="1"/>
          <w:numId w:val="1026"/>
        </w:numPr>
      </w:pPr>
      <w:r>
        <w:t xml:space="preserve">Ammendments for changes in already approved projects</w:t>
      </w:r>
    </w:p>
    <w:p>
      <w:pPr>
        <w:pStyle w:val="Compact"/>
        <w:numPr>
          <w:ilvl w:val="0"/>
          <w:numId w:val="1024"/>
        </w:numPr>
      </w:pPr>
      <w:r>
        <w:t xml:space="preserve">Application fees applies</w:t>
      </w:r>
    </w:p>
    <w:p>
      <w:pPr>
        <w:pStyle w:val="Compact"/>
        <w:numPr>
          <w:ilvl w:val="0"/>
          <w:numId w:val="1024"/>
        </w:numPr>
      </w:pPr>
      <w:hyperlink r:id="rId43">
        <w:r>
          <w:rPr>
            <w:rStyle w:val="Hyperlink"/>
          </w:rPr>
          <w:t xml:space="preserve">Swedish Ethical Review Authority</w:t>
        </w:r>
      </w:hyperlink>
    </w:p>
    <w:bookmarkStart w:id="46" w:name="refs"/>
    <w:bookmarkStart w:id="45" w:name="ref-publica2025"/>
    <w:p>
      <w:pPr>
        <w:pStyle w:val="Bibliography"/>
      </w:pPr>
      <w:r>
        <w:t xml:space="preserve">“Public Access and Secrecy | Swedish National Data Service.”</w:t>
      </w:r>
      <w:r>
        <w:t xml:space="preserve"> </w:t>
      </w:r>
      <w:r>
        <w:t xml:space="preserve">2025.</w:t>
      </w:r>
      <w:r>
        <w:t xml:space="preserve"> </w:t>
      </w:r>
      <w:hyperlink r:id="rId44">
        <w:r>
          <w:rPr>
            <w:rStyle w:val="Hyperlink"/>
          </w:rPr>
          <w:t xml:space="preserve">https://snd.se/en/research-data-support/introduction-legal-aspects-research/public-access-and-secrecy</w:t>
        </w:r>
      </w:hyperlink>
      <w:r>
        <w:t xml:space="preserve">.</w:t>
      </w:r>
    </w:p>
    <w:bookmarkEnd w:id="45"/>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43" Target="https://etikprovningsmyndigheten.se/en/" TargetMode="External" /><Relationship Type="http://schemas.openxmlformats.org/officeDocument/2006/relationships/hyperlink" Id="rId41" Target="https://imy.se/" TargetMode="External" /><Relationship Type="http://schemas.openxmlformats.org/officeDocument/2006/relationships/hyperlink" Id="rId44" Target="https://snd.se/en/research-data-support/introduction-legal-aspects-research/public-access-and-secrecy" TargetMode="External" /><Relationship Type="http://schemas.openxmlformats.org/officeDocument/2006/relationships/hyperlink" Id="rId24" Target="https://svenskforfattningssamling.se/" TargetMode="External" /><Relationship Type="http://schemas.openxmlformats.org/officeDocument/2006/relationships/hyperlink" Id="rId23" Target="https://www.lawpub.se/artikel/10.53292/32f26f7c.5b65be00" TargetMode="External" /></Relationships>
</file>

<file path=word/_rels/footnotes.xml.rels><?xml version="1.0" encoding="UTF-8"?><Relationships xmlns="http://schemas.openxmlformats.org/package/2006/relationships"><Relationship Type="http://schemas.openxmlformats.org/officeDocument/2006/relationships/hyperlink" Id="rId43" Target="https://etikprovningsmyndigheten.se/en/" TargetMode="External" /><Relationship Type="http://schemas.openxmlformats.org/officeDocument/2006/relationships/hyperlink" Id="rId41" Target="https://imy.se/" TargetMode="External" /><Relationship Type="http://schemas.openxmlformats.org/officeDocument/2006/relationships/hyperlink" Id="rId44" Target="https://snd.se/en/research-data-support/introduction-legal-aspects-research/public-access-and-secrecy" TargetMode="External" /><Relationship Type="http://schemas.openxmlformats.org/officeDocument/2006/relationships/hyperlink" Id="rId24" Target="https://svenskforfattningssamling.se/" TargetMode="External" /><Relationship Type="http://schemas.openxmlformats.org/officeDocument/2006/relationships/hyperlink" Id="rId23" Target="https://www.lawpub.se/artikel/10.53292/32f26f7c.5b65be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Swedish legislation</dc:title>
  <dc:creator/>
  <cp:keywords/>
  <dcterms:created xsi:type="dcterms:W3CDTF">2026-01-21T11:56:30Z</dcterms:created>
  <dcterms:modified xsi:type="dcterms:W3CDTF">2026-01-21T11:56:30Z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vt:lpwstr>
  </property>
  <property fmtid="{D5CDD505-2E9C-101B-9397-08002B2CF9AE}" pid="9" name="subtitle">
    <vt:lpwstr>Laws and regulation</vt:lpwstr>
  </property>
  <property fmtid="{D5CDD505-2E9C-101B-9397-08002B2CF9AE}" pid="10" name="toc-title">
    <vt:lpwstr>Table of contents</vt:lpwstr>
  </property>
</Properties>
</file>