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53.png" ContentType="image/png"/>
  <Override PartName="/word/media/rId73.png" ContentType="image/png"/>
  <Override PartName="/word/media/rId77.png" ContentType="image/png"/>
  <Override PartName="/word/media/rId80.png" ContentType="image/png"/>
  <Override PartName="/word/media/rId63.png" ContentType="image/png"/>
  <Override PartName="/word/media/rId32.png" ContentType="image/png"/>
  <Override PartName="/word/media/rId35.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Reproducible analysis and {targets}</w:t>
      </w:r>
    </w:p>
    <w:bookmarkStart w:id="25"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(but you do not need to install Docker for this course)</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 these,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bookmarkEnd w:id="25"/>
    <w:bookmarkStart w:id="31"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6">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7">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recognise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p>
      <w:pPr>
        <w:pStyle w:val="BlockText"/>
      </w:pPr>
      <w:r>
        <w:t xml:space="preserve">An article about computational science in a scientific publication is not the scholarship itself, it is merely advertising of the scholarship. The actual scholarship is the complete software development environment and the complete set of instructions which generated the figures. / Buckheit &amp; Donoho</w:t>
      </w:r>
    </w:p>
    <w:p>
      <w:pPr>
        <w:pStyle w:val="BlockText"/>
      </w:pPr>
      <w:r>
        <w:t xml:space="preserve">[…] importance of having a clear understanding of how data analysis was conducted when critical life and death decisions must be made. / Peng et al. 2021</w:t>
      </w:r>
    </w:p>
    <w:bookmarkEnd w:id="31"/>
    <w:bookmarkStart w:id="68"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38"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pPr>
        <w:pStyle w:val="FirstParagraph"/>
      </w:pPr>
      <w:r>
        <w:drawing>
          <wp:inline>
            <wp:extent cx="5334000" cy="4858789"/>
            <wp:effectExtent b="0" l="0" r="0" t="0"/>
            <wp:docPr descr="" title="" id="33" name="Picture"/>
            <a:graphic>
              <a:graphicData uri="http://schemas.openxmlformats.org/drawingml/2006/picture">
                <pic:pic>
                  <pic:nvPicPr>
                    <pic:cNvPr descr="images/paste-7.png" id="34" name="Picture"/>
                    <pic:cNvPicPr>
                      <a:picLocks noChangeArrowheads="1" noChangeAspect="1"/>
                    </pic:cNvPicPr>
                  </pic:nvPicPr>
                  <pic:blipFill>
                    <a:blip r:embed="rId32"/>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6" name="Picture"/>
            <a:graphic>
              <a:graphicData uri="http://schemas.openxmlformats.org/drawingml/2006/picture">
                <pic:pic>
                  <pic:nvPicPr>
                    <pic:cNvPr descr="images/paste-8.png" id="37" name="Picture"/>
                    <pic:cNvPicPr>
                      <a:picLocks noChangeArrowheads="1" noChangeAspect="1"/>
                    </pic:cNvPicPr>
                  </pic:nvPicPr>
                  <pic:blipFill>
                    <a:blip r:embed="rId35"/>
                    <a:stretch>
                      <a:fillRect/>
                    </a:stretch>
                  </pic:blipFill>
                  <pic:spPr bwMode="auto">
                    <a:xfrm>
                      <a:off x="0" y="0"/>
                      <a:ext cx="5334000" cy="2990831"/>
                    </a:xfrm>
                    <a:prstGeom prst="rect">
                      <a:avLst/>
                    </a:prstGeom>
                    <a:noFill/>
                    <a:ln w="9525">
                      <a:noFill/>
                      <a:headEnd/>
                      <a:tailEnd/>
                    </a:ln>
                  </pic:spPr>
                </pic:pic>
              </a:graphicData>
            </a:graphic>
          </wp:inline>
        </w:drawing>
      </w:r>
    </w:p>
    <w:bookmarkEnd w:id="38"/>
    <w:bookmarkStart w:id="39"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39"/>
    <w:bookmarkStart w:id="40"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bookmarkEnd w:id="40"/>
    <w:bookmarkStart w:id="41"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long file or a bunch of files which you execute in order</w:t>
      </w:r>
    </w:p>
    <w:p>
      <w:pPr>
        <w:pStyle w:val="Compact"/>
        <w:numPr>
          <w:ilvl w:val="0"/>
          <w:numId w:val="1007"/>
        </w:numPr>
      </w:pPr>
      <w:r>
        <w:t xml:space="preserve">It takes two weeks to run all the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you’re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1"/>
    <w:bookmarkStart w:id="42"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sesion</w:t>
      </w:r>
    </w:p>
    <w:p>
      <w:pPr>
        <w:pStyle w:val="Compact"/>
        <w:numPr>
          <w:ilvl w:val="0"/>
          <w:numId w:val="1009"/>
        </w:numPr>
      </w:pPr>
      <w:r>
        <w:t xml:space="preserve">This is usually not recommended and therefore often disabled in for example RStudio</w:t>
      </w:r>
    </w:p>
    <w:p>
      <w:pPr>
        <w:pStyle w:val="Compact"/>
        <w:numPr>
          <w:ilvl w:val="1"/>
          <w:numId w:val="1010"/>
        </w:numPr>
      </w:pPr>
      <w:r>
        <w:t xml:space="preserve">(If you re-start your sessin at a later point you might have no idea how the restored objects relates to each other.)</w:t>
      </w:r>
    </w:p>
    <w:p>
      <w:pPr>
        <w:pStyle w:val="Compact"/>
        <w:numPr>
          <w:ilvl w:val="0"/>
          <w:numId w:val="1009"/>
        </w:numPr>
      </w:pPr>
      <w:r>
        <w:t xml:space="preserve">You may still want to execute things in a more step-wise fasion</w:t>
      </w:r>
    </w:p>
    <w:p>
      <w:pPr>
        <w:pStyle w:val="Compact"/>
        <w:numPr>
          <w:ilvl w:val="1"/>
          <w:numId w:val="1011"/>
        </w:numPr>
      </w:pPr>
      <w:r>
        <w:t xml:space="preserve">Convert big data files to something R-friendly</w:t>
      </w:r>
    </w:p>
    <w:p>
      <w:pPr>
        <w:pStyle w:val="Compact"/>
        <w:numPr>
          <w:ilvl w:val="1"/>
          <w:numId w:val="1011"/>
        </w:numPr>
      </w:pPr>
      <w:r>
        <w:t xml:space="preserve">Perform some data management (select relevant columns ond rows), cleaning, add calculated variables etc</w:t>
      </w:r>
    </w:p>
    <w:p>
      <w:pPr>
        <w:pStyle w:val="Compact"/>
        <w:numPr>
          <w:ilvl w:val="1"/>
          <w:numId w:val="1011"/>
        </w:numPr>
      </w:pPr>
      <w:r>
        <w:t xml:space="preserve">Perform some exploratory data analysis (EDA) 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2"/>
    <w:bookmarkStart w:id="44"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 serialization and are now 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43">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44"/>
    <w:bookmarkStart w:id="47" w:name="benchmarking"/>
    <w:p>
      <w:pPr>
        <w:pStyle w:val="Heading2"/>
      </w:pPr>
      <w:r>
        <w:t xml:space="preserve">Benchmarking</w:t>
      </w:r>
    </w:p>
    <w:bookmarkStart w:id="45"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t xml:space="preserve">10.5</w:t>
            </w:r>
          </w:p>
        </w:tc>
        <w:tc>
          <w:tcPr/>
          <w:p>
            <w:pPr>
              <w:pStyle w:val="Compact"/>
            </w:pPr>
            <w:r>
              <w:t xml:space="preserve">34.8</w:t>
            </w:r>
          </w:p>
        </w:tc>
      </w:tr>
      <w:tr>
        <w:tc>
          <w:tcPr/>
          <w:p>
            <w:pPr>
              <w:pStyle w:val="Compact"/>
            </w:pPr>
            <w:r>
              <w:t xml:space="preserve">base::serialize</w:t>
            </w:r>
          </w:p>
        </w:tc>
        <w:tc>
          <w:tcPr/>
          <w:p>
            <w:pPr>
              <w:pStyle w:val="Compact"/>
            </w:pPr>
            <w:r>
              <w:t xml:space="preserve">1.1</w:t>
            </w:r>
          </w:p>
        </w:tc>
        <w:tc>
          <w:tcPr/>
          <w:p>
            <w:pPr>
              <w:pStyle w:val="Compact"/>
            </w:pPr>
            <w:r>
              <w:t xml:space="preserve">8.87</w:t>
            </w:r>
          </w:p>
        </w:tc>
        <w:tc>
          <w:tcPr/>
          <w:p>
            <w:pPr>
              <w:pStyle w:val="Compact"/>
            </w:pPr>
            <w:r>
              <w:t xml:space="preserve">51.4</w:t>
            </w:r>
          </w:p>
        </w:tc>
      </w:tr>
      <w:tr>
        <w:tc>
          <w:tcPr/>
          <w:p>
            <w:pPr>
              <w:pStyle w:val="Compact"/>
            </w:pPr>
            <w:r>
              <w:t xml:space="preserve">saveRDS</w:t>
            </w:r>
          </w:p>
        </w:tc>
        <w:tc>
          <w:tcPr/>
          <w:p>
            <w:pPr>
              <w:pStyle w:val="Compact"/>
            </w:pPr>
            <w: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45"/>
    <w:bookmarkStart w:id="46"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t xml:space="preserve">qdata</w:t>
            </w:r>
          </w:p>
        </w:tc>
        <w:tc>
          <w:tcPr/>
          <w:p>
            <w:pPr>
              <w:pStyle w:val="Compact"/>
            </w:pPr>
            <w:r>
              <w:t xml:space="preserve">8.45</w:t>
            </w:r>
          </w:p>
        </w:tc>
        <w:tc>
          <w:tcPr/>
          <w:p>
            <w:pPr>
              <w:pStyle w:val="Compact"/>
            </w:pPr>
            <w:r>
              <w:t xml:space="preserve">1.98</w:t>
            </w:r>
          </w:p>
        </w:tc>
        <w:tc>
          <w:tcPr/>
          <w:p>
            <w:pPr>
              <w:pStyle w:val="Compact"/>
            </w:pPr>
            <w: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46"/>
    <w:bookmarkEnd w:id="47"/>
    <w:bookmarkStart w:id="48" w:name="who-cares"/>
    <w:p>
      <w:pPr>
        <w:pStyle w:val="Heading2"/>
      </w:pPr>
      <w:r>
        <w:t xml:space="preserve">Who cares?</w:t>
      </w:r>
    </w:p>
    <w:p>
      <w:pPr>
        <w:pStyle w:val="Compact"/>
        <w:numPr>
          <w:ilvl w:val="0"/>
          <w:numId w:val="1015"/>
        </w:numPr>
      </w:pPr>
      <w:r>
        <w:t xml:space="preserve">Imagine you work with data for the whole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 secure environment were data is stored on a network server (no HDD drive)</w:t>
      </w:r>
    </w:p>
    <w:p>
      <w:pPr>
        <w:pStyle w:val="Compact"/>
        <w:numPr>
          <w:ilvl w:val="0"/>
          <w:numId w:val="1015"/>
        </w:numPr>
      </w:pPr>
      <w:r>
        <w:t xml:space="preserve">The same environment is shared by 20 other researchers and you are all competing for the same band-width</w:t>
      </w:r>
    </w:p>
    <w:p>
      <w:pPr>
        <w:pStyle w:val="Compact"/>
        <w:numPr>
          <w:ilvl w:val="0"/>
          <w:numId w:val="1015"/>
        </w:numPr>
      </w:pPr>
      <w:r>
        <w:t xml:space="preserve">It will get increasonly frusrating just to load and save the big files</w:t>
      </w:r>
    </w:p>
    <w:p>
      <w:pPr>
        <w:pStyle w:val="Compact"/>
        <w:numPr>
          <w:ilvl w:val="0"/>
          <w:numId w:val="1015"/>
        </w:numPr>
      </w:pPr>
      <w:r>
        <w:t xml:space="preserve">You might need to wait for half an hour before you can start working</w:t>
      </w:r>
    </w:p>
    <w:bookmarkEnd w:id="48"/>
    <w:bookmarkStart w:id="49"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 Make is a build automation tool that automatically determines which parts of a program need to be rebuilt and executes the necessary commands based on rules defined in a Makefile.</w:t>
      </w:r>
    </w:p>
    <w:p>
      <w:pPr>
        <w:pStyle w:val="Compact"/>
        <w:numPr>
          <w:ilvl w:val="0"/>
          <w:numId w:val="1016"/>
        </w:numPr>
      </w:pPr>
      <w:r>
        <w:t xml:space="preserve">Iteration during project development (which is equally relevant for a health data project), will be much faster and reliable.</w:t>
      </w:r>
    </w:p>
    <w:p>
      <w:pPr>
        <w:pStyle w:val="Compact"/>
        <w:numPr>
          <w:ilvl w:val="0"/>
          <w:numId w:val="1016"/>
        </w:numPr>
      </w:pPr>
      <w:r>
        <w:t xml:space="preserve">Caching as described abowe is automated and you only need to read/write files to disk/network storage when actually needed.</w:t>
      </w:r>
    </w:p>
    <w:bookmarkEnd w:id="49"/>
    <w:bookmarkStart w:id="50" w:name="targets-package"/>
    <w:p>
      <w:pPr>
        <w:pStyle w:val="Heading2"/>
      </w:pPr>
      <w:r>
        <w:t xml:space="preserve">targets package</w:t>
      </w:r>
    </w:p>
    <w:p>
      <w:pPr>
        <w:numPr>
          <w:ilvl w:val="0"/>
          <w:numId w:val="1018"/>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8"/>
        </w:numPr>
      </w:pPr>
      <w:r>
        <w:t xml:space="preserve">The package skips costly runtime for tasks that are already up to date, orchestrates the necessary computation with implicit parallel computing, and abstracts files as R objects.</w:t>
      </w:r>
    </w:p>
    <w:p>
      <w:pPr>
        <w:numPr>
          <w:ilvl w:val="0"/>
          <w:numId w:val="1018"/>
        </w:numPr>
      </w:pPr>
      <w:r>
        <w:t xml:space="preserve">If all the current output matches the current upstream code and data, then the whole pipeline is up to date, and the results are more trustworthy than otherwise.</w:t>
      </w:r>
    </w:p>
    <w:p>
      <w:pPr>
        <w:numPr>
          <w:ilvl w:val="0"/>
          <w:numId w:val="1018"/>
        </w:numPr>
      </w:pPr>
      <w:r>
        <w:t xml:space="preserve">The tasks themselves are called</w:t>
      </w:r>
      <w:r>
        <w:t xml:space="preserve"> </w:t>
      </w:r>
      <w:r>
        <w:t xml:space="preserve">“targets”</w:t>
      </w:r>
      <w:r>
        <w:t xml:space="preserve">, and they run the functions and return R objects.</w:t>
      </w:r>
    </w:p>
    <w:p>
      <w:pPr>
        <w:numPr>
          <w:ilvl w:val="0"/>
          <w:numId w:val="1018"/>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and reproducible.</w:t>
      </w:r>
    </w:p>
    <w:bookmarkEnd w:id="50"/>
    <w:bookmarkStart w:id="5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 health and nutrition surveys since the early 1960’s. Since 1999 approximately 5,000 individuals of all ages are interviewed in their homes every year and complete the health examination component of the survey. The health examination is conducted in a mobile examination centre (MEC).</w:t>
      </w:r>
    </w:p>
    <w:p>
      <w:pPr>
        <w:pStyle w:val="BodyText"/>
      </w:pPr>
      <w:r>
        <w:rPr>
          <w:b/>
          <w:bCs/>
        </w:rPr>
        <w:t xml:space="preserve">Question:</w:t>
      </w:r>
      <w:r>
        <w:t xml:space="preserve"> </w:t>
      </w:r>
      <w:r>
        <w:t xml:space="preserve">Is there any association between gender and BMI?</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51"/>
    <w:bookmarkStart w:id="5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2.1.6</w:t>
      </w:r>
      <w:r>
        <w:br/>
      </w:r>
      <w:r>
        <w:rPr>
          <w:rStyle w:val="VerbatimChar"/>
        </w:rPr>
        <w:t xml:space="preserve">✔ forcats   1.0.1     ✔ stringr   1.6.0</w:t>
      </w:r>
      <w:r>
        <w:br/>
      </w:r>
      <w:r>
        <w:rPr>
          <w:rStyle w:val="VerbatimChar"/>
        </w:rPr>
        <w:t xml:space="preserve">✔ ggplot2   4.0.1     ✔ tibble    3.3.1</w:t>
      </w:r>
      <w:r>
        <w:br/>
      </w:r>
      <w:r>
        <w:rPr>
          <w:rStyle w:val="VerbatimChar"/>
        </w:rPr>
        <w:t xml:space="preserve">✔ lubridate 1.9.4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19"/>
        </w:numPr>
      </w:pPr>
      <w:r>
        <w:t xml:space="preserve">You must run the script in order (but might not always do that) … if so, confusion will arise!</w:t>
      </w:r>
    </w:p>
    <w:p>
      <w:pPr>
        <w:numPr>
          <w:ilvl w:val="0"/>
          <w:numId w:val="1019"/>
        </w:numPr>
      </w:pPr>
      <w:r>
        <w:t xml:space="preserve">objects df, tbl and tst only lives in the active session</w:t>
      </w:r>
    </w:p>
    <w:p>
      <w:pPr>
        <w:numPr>
          <w:ilvl w:val="1"/>
          <w:numId w:val="1020"/>
        </w:numPr>
      </w:pPr>
      <w:r>
        <w:t xml:space="preserve">No problem in this example</w:t>
      </w:r>
    </w:p>
    <w:p>
      <w:pPr>
        <w:numPr>
          <w:ilvl w:val="1"/>
          <w:numId w:val="1020"/>
        </w:numPr>
      </w:pPr>
      <w:r>
        <w:t xml:space="preserve">but working with big and complex data might introduce long-running processes =&gt; time consuming!</w:t>
      </w:r>
    </w:p>
    <w:bookmarkEnd w:id="52"/>
    <w:bookmarkStart w:id="56"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54" name="Picture"/>
            <a:graphic>
              <a:graphicData uri="http://schemas.openxmlformats.org/drawingml/2006/picture">
                <pic:pic>
                  <pic:nvPicPr>
                    <pic:cNvPr descr="EL5_files/figure-docx/unnamed-chunk-3-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bookmarkEnd w:id="56"/>
    <w:bookmarkStart w:id="57" w:name="pipeline-1"/>
    <w:p>
      <w:pPr>
        <w:pStyle w:val="Heading2"/>
      </w:pPr>
      <w:r>
        <w:t xml:space="preserve">Pipeline</w:t>
      </w:r>
    </w:p>
    <w:p>
      <w:pPr>
        <w:pStyle w:val="Compact"/>
        <w:numPr>
          <w:ilvl w:val="0"/>
          <w:numId w:val="1021"/>
        </w:numPr>
      </w:pPr>
      <w:r>
        <w:t xml:space="preserve">Define steps in your analysis as targets</w:t>
      </w:r>
    </w:p>
    <w:p>
      <w:pPr>
        <w:pStyle w:val="Compact"/>
        <w:numPr>
          <w:ilvl w:val="0"/>
          <w:numId w:val="1021"/>
        </w:numPr>
      </w:pPr>
      <w:r>
        <w:t xml:space="preserve">Define dependencies between targets</w:t>
      </w:r>
    </w:p>
    <w:p>
      <w:pPr>
        <w:pStyle w:val="Compact"/>
        <w:numPr>
          <w:ilvl w:val="0"/>
          <w:numId w:val="1021"/>
        </w:numPr>
      </w:pPr>
      <w:r>
        <w:t xml:space="preserve">Automatically track changes and rerun only necessary parts</w:t>
      </w:r>
    </w:p>
    <w:p>
      <w:r>
        <w:pict>
          <v:rect style="width:0;height:1.5pt" o:hralign="center" o:hrstd="t" o:hr="t"/>
        </w:pict>
      </w:r>
    </w:p>
    <w:bookmarkEnd w:id="57"/>
    <w:bookmarkStart w:id="58" w:name="why"/>
    <w:p>
      <w:pPr>
        <w:pStyle w:val="Heading2"/>
      </w:pPr>
      <w:r>
        <w:t xml:space="preserve">Why?</w:t>
      </w:r>
    </w:p>
    <w:p>
      <w:pPr>
        <w:pStyle w:val="Compact"/>
        <w:numPr>
          <w:ilvl w:val="0"/>
          <w:numId w:val="1022"/>
        </w:numPr>
      </w:pPr>
      <w:r>
        <w:t xml:space="preserve">You do not want to rerun everything all the time!</w:t>
      </w:r>
    </w:p>
    <w:p>
      <w:pPr>
        <w:pStyle w:val="Compact"/>
        <w:numPr>
          <w:ilvl w:val="0"/>
          <w:numId w:val="1022"/>
        </w:numPr>
      </w:pPr>
      <w:r>
        <w:t xml:space="preserve">You want to keep track of what you have done</w:t>
      </w:r>
    </w:p>
    <w:p>
      <w:pPr>
        <w:pStyle w:val="Compact"/>
        <w:numPr>
          <w:ilvl w:val="0"/>
          <w:numId w:val="1022"/>
        </w:numPr>
      </w:pPr>
      <w:r>
        <w:t xml:space="preserve">You want to be able to reproduce your results later</w:t>
      </w:r>
    </w:p>
    <w:p>
      <w:pPr>
        <w:pStyle w:val="Compact"/>
        <w:numPr>
          <w:ilvl w:val="0"/>
          <w:numId w:val="1022"/>
        </w:numPr>
      </w:pPr>
      <w:r>
        <w:t xml:space="preserve">You want to share your workflow with others</w:t>
      </w:r>
    </w:p>
    <w:bookmarkEnd w:id="58"/>
    <w:bookmarkStart w:id="59"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59"/>
    <w:bookmarkStart w:id="60"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60"/>
    <w:bookmarkStart w:id="61"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or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61"/>
    <w:bookmarkStart w:id="62" w:name="benefits"/>
    <w:p>
      <w:pPr>
        <w:pStyle w:val="Heading2"/>
      </w:pPr>
      <w:r>
        <w:t xml:space="preserve">Benefits</w:t>
      </w:r>
    </w:p>
    <w:p>
      <w:pPr>
        <w:pStyle w:val="Compact"/>
        <w:numPr>
          <w:ilvl w:val="0"/>
          <w:numId w:val="1023"/>
        </w:numPr>
      </w:pPr>
      <w:r>
        <w:t xml:space="preserve">execute the whole project by</w:t>
      </w:r>
      <w:r>
        <w:t xml:space="preserve"> </w:t>
      </w:r>
      <w:r>
        <w:rPr>
          <w:rStyle w:val="VerbatimChar"/>
        </w:rPr>
        <w:t xml:space="preserve">tar_make()</w:t>
      </w:r>
    </w:p>
    <w:p>
      <w:pPr>
        <w:pStyle w:val="Compact"/>
        <w:numPr>
          <w:ilvl w:val="0"/>
          <w:numId w:val="1023"/>
        </w:numPr>
      </w:pPr>
      <w:r>
        <w:t xml:space="preserve">intermediate steps are cached and cached objects retreived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3"/>
        </w:numPr>
      </w:pPr>
      <w:r>
        <w:t xml:space="preserve">dependency among individual steps can be visualized:</w:t>
      </w:r>
      <w:r>
        <w:t xml:space="preserve"> </w:t>
      </w:r>
      <w:r>
        <w:rPr>
          <w:rStyle w:val="VerbatimChar"/>
        </w:rPr>
        <w:t xml:space="preserve">tar_visnetwork()</w:t>
      </w:r>
    </w:p>
    <w:bookmarkEnd w:id="62"/>
    <w:bookmarkStart w:id="66" w:name="dependency-graph"/>
    <w:p>
      <w:pPr>
        <w:pStyle w:val="Heading2"/>
      </w:pPr>
      <w:r>
        <w:t xml:space="preserve">Dependency graph</w:t>
      </w:r>
    </w:p>
    <w:p>
      <w:pPr>
        <w:pStyle w:val="FirstParagraph"/>
      </w:pPr>
      <w:r>
        <w:drawing>
          <wp:inline>
            <wp:extent cx="5334000" cy="4000499"/>
            <wp:effectExtent b="0" l="0" r="0" t="0"/>
            <wp:docPr descr="" title="" id="64" name="Picture"/>
            <a:graphic>
              <a:graphicData uri="http://schemas.openxmlformats.org/drawingml/2006/picture">
                <pic:pic>
                  <pic:nvPicPr>
                    <pic:cNvPr descr="images/paste-2.png" id="65" name="Picture"/>
                    <pic:cNvPicPr>
                      <a:picLocks noChangeArrowheads="1" noChangeAspect="1"/>
                    </pic:cNvPicPr>
                  </pic:nvPicPr>
                  <pic:blipFill>
                    <a:blip r:embed="rId63"/>
                    <a:stretch>
                      <a:fillRect/>
                    </a:stretch>
                  </pic:blipFill>
                  <pic:spPr bwMode="auto">
                    <a:xfrm>
                      <a:off x="0" y="0"/>
                      <a:ext cx="5334000" cy="4000499"/>
                    </a:xfrm>
                    <a:prstGeom prst="rect">
                      <a:avLst/>
                    </a:prstGeom>
                    <a:noFill/>
                    <a:ln w="9525">
                      <a:noFill/>
                      <a:headEnd/>
                      <a:tailEnd/>
                    </a:ln>
                  </pic:spPr>
                </pic:pic>
              </a:graphicData>
            </a:graphic>
          </wp:inline>
        </w:drawing>
      </w:r>
    </w:p>
    <w:bookmarkEnd w:id="66"/>
    <w:bookmarkStart w:id="67"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67"/>
    <w:bookmarkEnd w:id="68"/>
    <w:bookmarkStart w:id="92" w:name="different-r-versions"/>
    <w:p>
      <w:pPr>
        <w:pStyle w:val="Heading1"/>
      </w:pPr>
      <w:r>
        <w:t xml:space="preserve">Different R-versions</w:t>
      </w:r>
    </w:p>
    <w:p>
      <w:pPr>
        <w:pStyle w:val="Compact"/>
        <w:numPr>
          <w:ilvl w:val="0"/>
          <w:numId w:val="1024"/>
        </w:numPr>
      </w:pPr>
      <w:r>
        <w:t xml:space="preserve">Imagine you finish your research project and you submit a manuscript to a journal</w:t>
      </w:r>
    </w:p>
    <w:p>
      <w:pPr>
        <w:pStyle w:val="Compact"/>
        <w:numPr>
          <w:ilvl w:val="0"/>
          <w:numId w:val="1024"/>
        </w:numPr>
      </w:pPr>
      <w:r>
        <w:t xml:space="preserve">The journal comes back one year later (they didn’t have time until know) and one reviewer ask you to double check some steps of the analysis</w:t>
      </w:r>
    </w:p>
    <w:p>
      <w:pPr>
        <w:pStyle w:val="Compact"/>
        <w:numPr>
          <w:ilvl w:val="0"/>
          <w:numId w:val="1024"/>
        </w:numPr>
      </w:pPr>
      <w:r>
        <w:t xml:space="preserve">You make some modifications and rerun your pipelines.</w:t>
      </w:r>
    </w:p>
    <w:p>
      <w:pPr>
        <w:pStyle w:val="Compact"/>
        <w:numPr>
          <w:ilvl w:val="0"/>
          <w:numId w:val="1024"/>
        </w:numPr>
      </w:pPr>
      <w:r>
        <w:t xml:space="preserve">But it doesn’t work!</w:t>
      </w:r>
    </w:p>
    <w:p>
      <w:pPr>
        <w:pStyle w:val="Compact"/>
        <w:numPr>
          <w:ilvl w:val="0"/>
          <w:numId w:val="1024"/>
        </w:numPr>
      </w:pPr>
      <w:r>
        <w:t xml:space="preserve">Half a year ago you updated your R installation and a week ago all of your installed packages.</w:t>
      </w:r>
    </w:p>
    <w:p>
      <w:pPr>
        <w:pStyle w:val="Compact"/>
        <w:numPr>
          <w:ilvl w:val="1"/>
          <w:numId w:val="1025"/>
        </w:numPr>
      </w:pPr>
      <w:r>
        <w:t xml:space="preserve">One package was retired from CRAN (could happen even though there was nothing wrong with the package when you used it)</w:t>
      </w:r>
    </w:p>
    <w:p>
      <w:pPr>
        <w:pStyle w:val="Compact"/>
        <w:numPr>
          <w:ilvl w:val="1"/>
          <w:numId w:val="1025"/>
        </w:numPr>
      </w:pPr>
      <w:r>
        <w:t xml:space="preserve">One package has deprecated one of the functions you previously used</w:t>
      </w:r>
    </w:p>
    <w:p>
      <w:pPr>
        <w:pStyle w:val="Compact"/>
        <w:numPr>
          <w:ilvl w:val="1"/>
          <w:numId w:val="1025"/>
        </w:numPr>
      </w:pPr>
      <w:r>
        <w:t xml:space="preserve">On package has redesigned the output format from a specific function you used</w:t>
      </w:r>
    </w:p>
    <w:p>
      <w:pPr>
        <w:pStyle w:val="Compact"/>
        <w:numPr>
          <w:ilvl w:val="0"/>
          <w:numId w:val="1024"/>
        </w:numPr>
      </w:pPr>
      <w:r>
        <w:t xml:space="preserve">😱</w:t>
      </w:r>
    </w:p>
    <w:p>
      <w:pPr>
        <w:pStyle w:val="FirstParagraph"/>
      </w:pPr>
      <w:r>
        <w:drawing>
          <wp:inline>
            <wp:extent cx="5334000" cy="4337129"/>
            <wp:effectExtent b="0" l="0" r="0" t="0"/>
            <wp:docPr descr="" title="" id="70" name="Picture"/>
            <a:graphic>
              <a:graphicData uri="http://schemas.openxmlformats.org/drawingml/2006/picture">
                <pic:pic>
                  <pic:nvPicPr>
                    <pic:cNvPr descr="images/paste-9.png" id="71" name="Picture"/>
                    <pic:cNvPicPr>
                      <a:picLocks noChangeArrowheads="1" noChangeAspect="1"/>
                    </pic:cNvPicPr>
                  </pic:nvPicPr>
                  <pic:blipFill>
                    <a:blip r:embed="rId69"/>
                    <a:stretch>
                      <a:fillRect/>
                    </a:stretch>
                  </pic:blipFill>
                  <pic:spPr bwMode="auto">
                    <a:xfrm>
                      <a:off x="0" y="0"/>
                      <a:ext cx="5334000" cy="4337129"/>
                    </a:xfrm>
                    <a:prstGeom prst="rect">
                      <a:avLst/>
                    </a:prstGeom>
                    <a:noFill/>
                    <a:ln w="9525">
                      <a:noFill/>
                      <a:headEnd/>
                      <a:tailEnd/>
                    </a:ln>
                  </pic:spPr>
                </pic:pic>
              </a:graphicData>
            </a:graphic>
          </wp:inline>
        </w:drawing>
      </w:r>
    </w:p>
    <w:bookmarkStart w:id="72" w:name="pros-and-cons"/>
    <w:p>
      <w:pPr>
        <w:pStyle w:val="Heading2"/>
      </w:pPr>
      <w:r>
        <w:t xml:space="preserve">Pros and cons</w:t>
      </w:r>
    </w:p>
    <w:p>
      <w:pPr>
        <w:numPr>
          <w:ilvl w:val="0"/>
          <w:numId w:val="1026"/>
        </w:numPr>
      </w:pPr>
      <w:r>
        <w:t xml:space="preserve">It is always a good idea to be able to reproduce exactly what you did!</w:t>
      </w:r>
    </w:p>
    <w:p>
      <w:pPr>
        <w:numPr>
          <w:ilvl w:val="0"/>
          <w:numId w:val="1026"/>
        </w:numPr>
      </w:pPr>
      <w:r>
        <w:t xml:space="preserve">But if you never update you might miss essential bug fixes.</w:t>
      </w:r>
    </w:p>
    <w:p>
      <w:pPr>
        <w:numPr>
          <w:ilvl w:val="0"/>
          <w:numId w:val="1026"/>
        </w:numPr>
      </w:pPr>
      <w:r>
        <w:t xml:space="preserve">If your results change, how can you know which version was the most accurate?</w:t>
      </w:r>
    </w:p>
    <w:p>
      <w:pPr>
        <w:pStyle w:val="FirstParagraph"/>
      </w:pPr>
      <w:r>
        <w:t xml:space="preserve">Best practice to rerun the analysis both with the frozen versions and with the most up-to-date versions of the packages … because you have all the time in the world and nothing more important to do right … 😂</w:t>
      </w:r>
    </w:p>
    <w:bookmarkEnd w:id="72"/>
    <w:bookmarkStart w:id="76" w:name="different-operating-systems"/>
    <w:p>
      <w:pPr>
        <w:pStyle w:val="Heading2"/>
      </w:pPr>
      <w:r>
        <w:t xml:space="preserve">Different operating systems</w:t>
      </w:r>
    </w:p>
    <w:p>
      <w:pPr>
        <w:numPr>
          <w:ilvl w:val="0"/>
          <w:numId w:val="1027"/>
        </w:numPr>
      </w:pPr>
      <w:r>
        <w:t xml:space="preserve">R should behave similar on different operating systems.</w:t>
      </w:r>
    </w:p>
    <w:p>
      <w:pPr>
        <w:numPr>
          <w:ilvl w:val="0"/>
          <w:numId w:val="1027"/>
        </w:numPr>
      </w:pPr>
      <w:r>
        <w:t xml:space="preserve">Exceptions nevertheless exist!</w:t>
      </w:r>
    </w:p>
    <w:p>
      <w:pPr>
        <w:numPr>
          <w:ilvl w:val="1"/>
          <w:numId w:val="1028"/>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8"/>
        </w:numPr>
      </w:pPr>
      <w:r>
        <w:rPr>
          <w:rStyle w:val="VerbatimChar"/>
        </w:rPr>
        <w:t xml:space="preserve">sort(c("ä", "a", "z"))</w:t>
      </w:r>
      <w:r>
        <w:t xml:space="preserve"> </w:t>
      </w:r>
      <w:r>
        <w:t xml:space="preserve">might differ due to locale settings</w:t>
      </w:r>
    </w:p>
    <w:p>
      <w:pPr>
        <w:pStyle w:val="FirstParagraph"/>
      </w:pPr>
      <w:r>
        <w:drawing>
          <wp:inline>
            <wp:extent cx="5334000" cy="2830784"/>
            <wp:effectExtent b="0" l="0" r="0" t="0"/>
            <wp:docPr descr="" title="" id="74" name="Picture"/>
            <a:graphic>
              <a:graphicData uri="http://schemas.openxmlformats.org/drawingml/2006/picture">
                <pic:pic>
                  <pic:nvPicPr>
                    <pic:cNvPr descr="images/paste-10.png" id="75" name="Picture"/>
                    <pic:cNvPicPr>
                      <a:picLocks noChangeArrowheads="1" noChangeAspect="1"/>
                    </pic:cNvPicPr>
                  </pic:nvPicPr>
                  <pic:blipFill>
                    <a:blip r:embed="rId73"/>
                    <a:stretch>
                      <a:fillRect/>
                    </a:stretch>
                  </pic:blipFill>
                  <pic:spPr bwMode="auto">
                    <a:xfrm>
                      <a:off x="0" y="0"/>
                      <a:ext cx="5334000" cy="2830784"/>
                    </a:xfrm>
                    <a:prstGeom prst="rect">
                      <a:avLst/>
                    </a:prstGeom>
                    <a:noFill/>
                    <a:ln w="9525">
                      <a:noFill/>
                      <a:headEnd/>
                      <a:tailEnd/>
                    </a:ln>
                  </pic:spPr>
                </pic:pic>
              </a:graphicData>
            </a:graphic>
          </wp:inline>
        </w:drawing>
      </w:r>
    </w:p>
    <w:bookmarkEnd w:id="76"/>
    <w:bookmarkStart w:id="91" w:name="combining-all"/>
    <w:p>
      <w:pPr>
        <w:pStyle w:val="Heading2"/>
      </w:pPr>
      <w:r>
        <w:t xml:space="preserve">Combining all?</w:t>
      </w:r>
    </w:p>
    <w:p>
      <w:pPr>
        <w:numPr>
          <w:ilvl w:val="0"/>
          <w:numId w:val="1029"/>
        </w:numPr>
      </w:pPr>
      <w:r>
        <w:t xml:space="preserve">you could very well use both targets + renv + git + GitHub etc</w:t>
      </w:r>
    </w:p>
    <w:p>
      <w:pPr>
        <w:numPr>
          <w:ilvl w:val="0"/>
          <w:numId w:val="1029"/>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29"/>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78" name="Picture"/>
            <a:graphic>
              <a:graphicData uri="http://schemas.openxmlformats.org/drawingml/2006/picture">
                <pic:pic>
                  <pic:nvPicPr>
                    <pic:cNvPr descr="images/paste-11.png" id="79" name="Picture"/>
                    <pic:cNvPicPr>
                      <a:picLocks noChangeArrowheads="1" noChangeAspect="1"/>
                    </pic:cNvPicPr>
                  </pic:nvPicPr>
                  <pic:blipFill>
                    <a:blip r:embed="rId77"/>
                    <a:stretch>
                      <a:fillRect/>
                    </a:stretch>
                  </pic:blipFill>
                  <pic:spPr bwMode="auto">
                    <a:xfrm>
                      <a:off x="0" y="0"/>
                      <a:ext cx="5334000" cy="3597088"/>
                    </a:xfrm>
                    <a:prstGeom prst="rect">
                      <a:avLst/>
                    </a:prstGeom>
                    <a:noFill/>
                    <a:ln w="9525">
                      <a:noFill/>
                      <a:headEnd/>
                      <a:tailEnd/>
                    </a:ln>
                  </pic:spPr>
                </pic:pic>
              </a:graphicData>
            </a:graphic>
          </wp:inline>
        </w:drawing>
      </w:r>
    </w:p>
    <w:p>
      <w:r>
        <w:pict>
          <v:rect style="width:0;height:1.5pt" o:hralign="center" o:hrstd="t" o:hr="t"/>
        </w:pict>
      </w:r>
    </w:p>
    <w:p>
      <w:r>
        <w:pict>
          <v:rect style="width:0;height:1.5pt" o:hralign="center" o:hrstd="t" o:hr="t"/>
        </w:pict>
      </w:r>
    </w:p>
    <w:p>
      <w:pPr>
        <w:pStyle w:val="FirstParagraph"/>
      </w:pPr>
      <w:r>
        <w:drawing>
          <wp:inline>
            <wp:extent cx="5334000" cy="2240280"/>
            <wp:effectExtent b="0" l="0" r="0" t="0"/>
            <wp:docPr descr="" title="" id="81" name="Picture"/>
            <a:graphic>
              <a:graphicData uri="http://schemas.openxmlformats.org/drawingml/2006/picture">
                <pic:pic>
                  <pic:nvPicPr>
                    <pic:cNvPr descr="images/paste-13.png" id="82" name="Picture"/>
                    <pic:cNvPicPr>
                      <a:picLocks noChangeArrowheads="1" noChangeAspect="1"/>
                    </pic:cNvPicPr>
                  </pic:nvPicPr>
                  <pic:blipFill>
                    <a:blip r:embed="rId80"/>
                    <a:stretch>
                      <a:fillRect/>
                    </a:stretch>
                  </pic:blipFill>
                  <pic:spPr bwMode="auto">
                    <a:xfrm>
                      <a:off x="0" y="0"/>
                      <a:ext cx="5334000" cy="2240280"/>
                    </a:xfrm>
                    <a:prstGeom prst="rect">
                      <a:avLst/>
                    </a:prstGeom>
                    <a:noFill/>
                    <a:ln w="9525">
                      <a:noFill/>
                      <a:headEnd/>
                      <a:tailEnd/>
                    </a:ln>
                  </pic:spPr>
                </pic:pic>
              </a:graphicData>
            </a:graphic>
          </wp:inline>
        </w:drawing>
      </w:r>
    </w:p>
    <w:bookmarkStart w:id="90" w:name="refs"/>
    <w:bookmarkStart w:id="8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83">
        <w:r>
          <w:rPr>
            <w:rStyle w:val="Hyperlink"/>
          </w:rPr>
          <w:t xml:space="preserve">https://doi.org/10.1038/533452a</w:t>
        </w:r>
      </w:hyperlink>
      <w:r>
        <w:t xml:space="preserve">.</w:t>
      </w:r>
    </w:p>
    <w:bookmarkEnd w:id="84"/>
    <w:bookmarkStart w:id="85"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85"/>
    <w:bookmarkStart w:id="87"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86">
        <w:r>
          <w:rPr>
            <w:rStyle w:val="Hyperlink"/>
          </w:rPr>
          <w:t xml:space="preserve">https://doi.org/10.1038/d41586-025-01266-x</w:t>
        </w:r>
      </w:hyperlink>
      <w:r>
        <w:t xml:space="preserve">.</w:t>
      </w:r>
    </w:p>
    <w:bookmarkEnd w:id="87"/>
    <w:bookmarkStart w:id="89"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88">
        <w:r>
          <w:rPr>
            <w:rStyle w:val="Hyperlink"/>
          </w:rPr>
          <w:t xml:space="preserve">https://doi.org/10.1146/annurev-publhealth-012420-105110</w:t>
        </w:r>
      </w:hyperlink>
      <w:r>
        <w:t xml:space="preserve">.</w:t>
      </w:r>
    </w:p>
    <w:bookmarkEnd w:id="89"/>
    <w:bookmarkEnd w:id="90"/>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53" Target="media/rId53.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63" Target="media/rId6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69" Target="media/rId69.png" /><Relationship Type="http://schemas.openxmlformats.org/officeDocument/2006/relationships/hyperlink" Id="rId24" Target="https://book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83" Target="https://doi.org/10.1038/533452a" TargetMode="External" /><Relationship Type="http://schemas.openxmlformats.org/officeDocument/2006/relationships/hyperlink" Id="rId86" Target="https://doi.org/10.1038/d41586-025-01266-x" TargetMode="External" /><Relationship Type="http://schemas.openxmlformats.org/officeDocument/2006/relationships/hyperlink" Id="rId88" Target="https://doi.org/10.1146/annurev-publhealth-012420-105110" TargetMode="External" /><Relationship Type="http://schemas.openxmlformats.org/officeDocument/2006/relationships/hyperlink" Id="rId43" Target="https://github.com/qsbase/qs2" TargetMode="External" /><Relationship Type="http://schemas.openxmlformats.org/officeDocument/2006/relationships/hyperlink" Id="rId26" Target="https://github.com/rsangole/2025-R-Medicine_targets-workshop" TargetMode="External" /><Relationship Type="http://schemas.openxmlformats.org/officeDocument/2006/relationships/hyperlink" Id="rId27" Target="https://r-consortium.org/posts/the-power-of-targets-package-for-reproducible-data-science/" TargetMode="External" /></Relationships>
</file>

<file path=word/_rels/footnotes.xml.rels><?xml version="1.0" encoding="UTF-8"?><Relationships xmlns="http://schemas.openxmlformats.org/package/2006/relationships"><Relationship Type="http://schemas.openxmlformats.org/officeDocument/2006/relationships/hyperlink" Id="rId24" Target="https://book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83" Target="https://doi.org/10.1038/533452a" TargetMode="External" /><Relationship Type="http://schemas.openxmlformats.org/officeDocument/2006/relationships/hyperlink" Id="rId86" Target="https://doi.org/10.1038/d41586-025-01266-x" TargetMode="External" /><Relationship Type="http://schemas.openxmlformats.org/officeDocument/2006/relationships/hyperlink" Id="rId88" Target="https://doi.org/10.1146/annurev-publhealth-012420-105110" TargetMode="External" /><Relationship Type="http://schemas.openxmlformats.org/officeDocument/2006/relationships/hyperlink" Id="rId43" Target="https://github.com/qsbase/qs2" TargetMode="External" /><Relationship Type="http://schemas.openxmlformats.org/officeDocument/2006/relationships/hyperlink" Id="rId26" Target="https://github.com/rsangole/2025-R-Medicine_targets-workshop" TargetMode="External" /><Relationship Type="http://schemas.openxmlformats.org/officeDocument/2006/relationships/hyperlink" Id="rId27" Target="https://r-consortium.org/posts/the-power-of-targets-package-for-reproducible-data-sci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2026-02-18T15:56:38Z</dcterms:created>
  <dcterms:modified xsi:type="dcterms:W3CDTF">2026-02-18T15:56:38Z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(Baker 2016), (Oliveira Andrade 2025), (Peng and Hicks 2021)</vt:lpwstr>
  </property>
  <property fmtid="{D5CDD505-2E9C-101B-9397-08002B2CF9AE}" pid="10" name="subtitle">
    <vt:lpwstr>Reproducible analysis and {targets}</vt:lpwstr>
  </property>
  <property fmtid="{D5CDD505-2E9C-101B-9397-08002B2CF9AE}" pid="11" name="toc-title">
    <vt:lpwstr>Table of contents</vt:lpwstr>
  </property>
</Properties>
</file>