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2026-03-18T07:56:47Z</dcterms:created>
  <dcterms:modified xsi:type="dcterms:W3CDTF">2026-03-18T07:56:47Z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(Vukovic et al. 2022), (Nguyen 2022, ch. 4)</vt:lpwstr>
  </property>
  <property fmtid="{D5CDD505-2E9C-101B-9397-08002B2CF9AE}" pid="10" name="subtitle">
    <vt:lpwstr>GDPR, EHDS and DA</vt:lpwstr>
  </property>
  <property fmtid="{D5CDD505-2E9C-101B-9397-08002B2CF9AE}" pid="11" name="toc-title">
    <vt:lpwstr>Table of contents</vt:lpwstr>
  </property>
</Properties>
</file>