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2026-03-05T23:52:43Z</dcterms:created>
  <dcterms:modified xsi:type="dcterms:W3CDTF">2026-03-05T23:52:43Z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(Vukovic et al. 2022), (Nguyen 2022, ch. 4)</vt:lpwstr>
  </property>
  <property fmtid="{D5CDD505-2E9C-101B-9397-08002B2CF9AE}" pid="10" name="subtitle">
    <vt:lpwstr>GDPR, EHDS and DA</vt:lpwstr>
  </property>
  <property fmtid="{D5CDD505-2E9C-101B-9397-08002B2CF9AE}" pid="11" name="toc-title">
    <vt:lpwstr>Table of contents</vt:lpwstr>
  </property>
</Properties>
</file>