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8.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66.</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70" w:name="faster-in-memory"/>
    <w:p>
      <w:pPr>
        <w:pStyle w:val="Heading2"/>
      </w:pPr>
      <w:r>
        <w:t xml:space="preserve">Faster in memory?</w:t>
      </w:r>
    </w:p>
    <w:p>
      <w:pPr>
        <w:pStyle w:val="Compact"/>
        <w:numPr>
          <w:ilvl w:val="0"/>
          <w:numId w:val="1028"/>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8"/>
        </w:numPr>
      </w:pPr>
      <w:r>
        <w:t xml:space="preserve">But what if data would fit (which is more common)?</w:t>
      </w:r>
    </w:p>
    <w:p>
      <w:pPr>
        <w:pStyle w:val="Compact"/>
        <w:numPr>
          <w:ilvl w:val="1"/>
          <w:numId w:val="1029"/>
        </w:numPr>
      </w:pPr>
      <w:r>
        <w:t xml:space="preserve">You can use tibbles and dplyr etc as usual …</w:t>
      </w:r>
    </w:p>
    <w:p>
      <w:pPr>
        <w:pStyle w:val="Compact"/>
        <w:numPr>
          <w:ilvl w:val="2"/>
          <w:numId w:val="1030"/>
        </w:numPr>
      </w:pPr>
      <w:r>
        <w:t xml:space="preserve">… but it might be slooooooooooooow … for big enough data</w:t>
      </w:r>
    </w:p>
    <w:p>
      <w:pPr>
        <w:pStyle w:val="Compact"/>
        <w:numPr>
          <w:ilvl w:val="2"/>
          <w:numId w:val="1030"/>
        </w:numPr>
      </w:pPr>
      <w:r>
        <w:t xml:space="preserve">(Although dplyr also gets some</w:t>
      </w:r>
      <w:r>
        <w:t xml:space="preserve"> </w:t>
      </w:r>
      <w:hyperlink r:id="rId69">
        <w:r>
          <w:rPr>
            <w:rStyle w:val="Hyperlink"/>
          </w:rPr>
          <w:t xml:space="preserve">speed improvements</w:t>
        </w:r>
      </w:hyperlink>
      <w:r>
        <w:t xml:space="preserve"> </w:t>
      </w:r>
      <w:r>
        <w:t xml:space="preserve">from time to time)</w:t>
      </w:r>
    </w:p>
    <w:p>
      <w:pPr>
        <w:pStyle w:val="Compact"/>
        <w:numPr>
          <w:ilvl w:val="0"/>
          <w:numId w:val="1028"/>
        </w:numPr>
      </w:pPr>
      <w:r>
        <w:rPr>
          <w:rStyle w:val="VerbatimChar"/>
        </w:rPr>
        <w:t xml:space="preserve">{data.table}</w:t>
      </w:r>
      <w:r>
        <w:t xml:space="preserve"> </w:t>
      </w:r>
      <w:r>
        <w:t xml:space="preserve">is much more efficient!</w:t>
      </w:r>
    </w:p>
    <w:bookmarkEnd w:id="70"/>
    <w:bookmarkStart w:id="71" w:name="data.table"/>
    <w:p>
      <w:pPr>
        <w:pStyle w:val="Heading2"/>
      </w:pPr>
      <w:r>
        <w:t xml:space="preserve">data.table</w:t>
      </w:r>
    </w:p>
    <w:p>
      <w:pPr>
        <w:pStyle w:val="Compact"/>
        <w:numPr>
          <w:ilvl w:val="0"/>
          <w:numId w:val="1031"/>
        </w:numPr>
      </w:pPr>
      <w:r>
        <w:t xml:space="preserve">An R package (not a data storage format or a database system)</w:t>
      </w:r>
    </w:p>
    <w:p>
      <w:pPr>
        <w:pStyle w:val="Compact"/>
        <w:numPr>
          <w:ilvl w:val="0"/>
          <w:numId w:val="1031"/>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1"/>
        </w:numPr>
      </w:pPr>
      <w:r>
        <w:t xml:space="preserve">Sometimes described as a Domain Specific Language (DSL) within R</w:t>
      </w:r>
    </w:p>
    <w:p>
      <w:pPr>
        <w:pStyle w:val="Compact"/>
        <w:numPr>
          <w:ilvl w:val="0"/>
          <w:numId w:val="1031"/>
        </w:numPr>
      </w:pPr>
      <w:r>
        <w:t xml:space="preserve">Introduced in 2006 (mature, stable, and widely used — older than the tidyverse)</w:t>
      </w:r>
    </w:p>
    <w:p>
      <w:pPr>
        <w:pStyle w:val="Compact"/>
        <w:numPr>
          <w:ilvl w:val="0"/>
          <w:numId w:val="1031"/>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1"/>
        </w:numPr>
      </w:pPr>
      <w:r>
        <w:t xml:space="preserve">Core components implemented in C for performance</w:t>
      </w:r>
    </w:p>
    <w:p>
      <w:pPr>
        <w:pStyle w:val="Compact"/>
        <w:numPr>
          <w:ilvl w:val="0"/>
          <w:numId w:val="1031"/>
        </w:numPr>
      </w:pPr>
      <w:r>
        <w:t xml:space="preserve">Uses concepts similar to databases:</w:t>
      </w:r>
    </w:p>
    <w:p>
      <w:pPr>
        <w:pStyle w:val="Compact"/>
        <w:numPr>
          <w:ilvl w:val="1"/>
          <w:numId w:val="1032"/>
        </w:numPr>
      </w:pPr>
      <w:r>
        <w:t xml:space="preserve">Integer-based keys and indices</w:t>
      </w:r>
      <w:r>
        <w:br/>
      </w:r>
    </w:p>
    <w:p>
      <w:pPr>
        <w:pStyle w:val="Compact"/>
        <w:numPr>
          <w:ilvl w:val="1"/>
          <w:numId w:val="1032"/>
        </w:numPr>
      </w:pPr>
      <w:r>
        <w:t xml:space="preserve">Efficient joins and grouping</w:t>
      </w:r>
    </w:p>
    <w:p>
      <w:pPr>
        <w:pStyle w:val="Compact"/>
        <w:numPr>
          <w:ilvl w:val="0"/>
          <w:numId w:val="1031"/>
        </w:numPr>
      </w:pPr>
      <w:r>
        <w:t xml:space="preserve">Reference semantics</w:t>
      </w:r>
      <w:r>
        <w:br/>
      </w:r>
    </w:p>
    <w:p>
      <w:pPr>
        <w:pStyle w:val="Compact"/>
        <w:numPr>
          <w:ilvl w:val="0"/>
          <w:numId w:val="1031"/>
        </w:numPr>
      </w:pPr>
      <w:r>
        <w:t xml:space="preserve">Very flexible and compact syntax</w:t>
      </w:r>
      <w:r>
        <w:br/>
      </w:r>
    </w:p>
    <w:p>
      <w:pPr>
        <w:pStyle w:val="Compact"/>
        <w:numPr>
          <w:ilvl w:val="0"/>
          <w:numId w:val="1031"/>
        </w:numPr>
      </w:pPr>
      <w:r>
        <w:t xml:space="preserve">Strongly appreciated by many statisticians —</w:t>
      </w:r>
      <w:r>
        <w:br/>
      </w:r>
      <w:r>
        <w:t xml:space="preserve">unknown to some — and slightly intimidating to others 🙂</w:t>
      </w:r>
    </w:p>
    <w:bookmarkEnd w:id="71"/>
    <w:bookmarkStart w:id="72" w:name="copy-on-modify"/>
    <w:p>
      <w:pPr>
        <w:pStyle w:val="Heading2"/>
      </w:pPr>
      <w:r>
        <w:t xml:space="preserve">Copy-on-modify</w:t>
      </w:r>
    </w:p>
    <w:p>
      <w:pPr>
        <w:pStyle w:val="Compact"/>
        <w:numPr>
          <w:ilvl w:val="0"/>
          <w:numId w:val="1033"/>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3"/>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3"/>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3"/>
        </w:numPr>
      </w:pPr>
      <w:r>
        <w:t xml:space="preserve">In R, objects use</w:t>
      </w:r>
      <w:r>
        <w:t xml:space="preserve"> </w:t>
      </w:r>
      <w:r>
        <w:rPr>
          <w:i/>
          <w:iCs/>
        </w:rPr>
        <w:t xml:space="preserve">copy-on-modify</w:t>
      </w:r>
      <w:r>
        <w:t xml:space="preserve"> </w:t>
      </w:r>
      <w:r>
        <w:t xml:space="preserve">semantics:</w:t>
      </w:r>
    </w:p>
    <w:p>
      <w:pPr>
        <w:pStyle w:val="Compact"/>
        <w:numPr>
          <w:ilvl w:val="1"/>
          <w:numId w:val="1034"/>
        </w:numPr>
      </w:pPr>
      <w:r>
        <w:t xml:space="preserve">When an object is changed, a new copy is created (if needed).</w:t>
      </w:r>
    </w:p>
    <w:p>
      <w:pPr>
        <w:pStyle w:val="Compact"/>
        <w:numPr>
          <w:ilvl w:val="1"/>
          <w:numId w:val="1034"/>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4"/>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3"/>
        </w:numPr>
      </w:pPr>
      <w:r>
        <w:t xml:space="preserve">The previous object may remain in memory temporarily until garbage collection runs.</w:t>
      </w:r>
    </w:p>
    <w:p>
      <w:pPr>
        <w:pStyle w:val="Compact"/>
        <w:numPr>
          <w:ilvl w:val="0"/>
          <w:numId w:val="1033"/>
        </w:numPr>
      </w:pPr>
      <w:r>
        <w:t xml:space="preserve">For very large objects, this can result in substantial temporary memory use</w:t>
      </w:r>
    </w:p>
    <w:bookmarkEnd w:id="72"/>
    <w:bookmarkStart w:id="73" w:name="reference-semantics"/>
    <w:p>
      <w:pPr>
        <w:pStyle w:val="Heading2"/>
      </w:pPr>
      <w:r>
        <w:t xml:space="preserve">Reference semantics</w:t>
      </w:r>
    </w:p>
    <w:p>
      <w:pPr>
        <w:pStyle w:val="Compact"/>
        <w:numPr>
          <w:ilvl w:val="0"/>
          <w:numId w:val="1035"/>
        </w:numPr>
      </w:pPr>
      <w:r>
        <w:t xml:space="preserve">In</w:t>
      </w:r>
      <w:r>
        <w:t xml:space="preserve"> </w:t>
      </w:r>
      <w:r>
        <w:rPr>
          <w:rStyle w:val="VerbatimChar"/>
        </w:rPr>
        <w:t xml:space="preserve">data.table</w:t>
      </w:r>
      <w:r>
        <w:t xml:space="preserve">, reference semantics are used instead.</w:t>
      </w:r>
    </w:p>
    <w:p>
      <w:pPr>
        <w:pStyle w:val="Compact"/>
        <w:numPr>
          <w:ilvl w:val="0"/>
          <w:numId w:val="1035"/>
        </w:numPr>
      </w:pPr>
      <w:r>
        <w:t xml:space="preserve">You can modify the existing object directly:</w:t>
      </w:r>
      <w:r>
        <w:t xml:space="preserve"> </w:t>
      </w:r>
      <w:r>
        <w:rPr>
          <w:rStyle w:val="VerbatimChar"/>
        </w:rPr>
        <w:t xml:space="preserve">df[, new := f(old)]</w:t>
      </w:r>
    </w:p>
    <w:p>
      <w:pPr>
        <w:pStyle w:val="Compact"/>
        <w:numPr>
          <w:ilvl w:val="0"/>
          <w:numId w:val="1035"/>
        </w:numPr>
      </w:pPr>
      <w:r>
        <w:t xml:space="preserve">Or delete columns in place:</w:t>
      </w:r>
      <w:r>
        <w:t xml:space="preserve"> </w:t>
      </w:r>
      <w:r>
        <w:rPr>
          <w:rStyle w:val="VerbatimChar"/>
        </w:rPr>
        <w:t xml:space="preserve">df[, old := NULL]</w:t>
      </w:r>
    </w:p>
    <w:p>
      <w:pPr>
        <w:pStyle w:val="Compact"/>
        <w:numPr>
          <w:ilvl w:val="0"/>
          <w:numId w:val="1035"/>
        </w:numPr>
      </w:pPr>
      <w:r>
        <w:t xml:space="preserve">No full copy is made</w:t>
      </w:r>
    </w:p>
    <w:p>
      <w:pPr>
        <w:pStyle w:val="Compact"/>
        <w:numPr>
          <w:ilvl w:val="0"/>
          <w:numId w:val="1035"/>
        </w:numPr>
      </w:pPr>
      <w:r>
        <w:t xml:space="preserve">There is still only one object in memory (and it is still called</w:t>
      </w:r>
      <w:r>
        <w:t xml:space="preserve"> </w:t>
      </w:r>
      <w:r>
        <w:rPr>
          <w:rStyle w:val="VerbatimChar"/>
        </w:rPr>
        <w:t xml:space="preserve">df</w:t>
      </w:r>
      <w:r>
        <w:t xml:space="preserve">).</w:t>
      </w:r>
    </w:p>
    <w:bookmarkEnd w:id="73"/>
    <w:bookmarkStart w:id="74"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4"/>
    <w:bookmarkStart w:id="75"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5"/>
    <w:bookmarkStart w:id="76" w:name="external-api"/>
    <w:p>
      <w:pPr>
        <w:pStyle w:val="Heading2"/>
      </w:pPr>
      <w:r>
        <w:t xml:space="preserve">External API</w:t>
      </w:r>
    </w:p>
    <w:p>
      <w:pPr>
        <w:pStyle w:val="Compact"/>
        <w:numPr>
          <w:ilvl w:val="0"/>
          <w:numId w:val="1036"/>
        </w:numPr>
      </w:pPr>
      <w:r>
        <w:t xml:space="preserve">We previously assumed you get some data delivery from a register holder</w:t>
      </w:r>
    </w:p>
    <w:p>
      <w:pPr>
        <w:pStyle w:val="Compact"/>
        <w:numPr>
          <w:ilvl w:val="0"/>
          <w:numId w:val="1036"/>
        </w:numPr>
      </w:pPr>
      <w:r>
        <w:t xml:space="preserve">Or mayby you work within the organization were data is collected, and therefore have access to the original data base.</w:t>
      </w:r>
    </w:p>
    <w:p>
      <w:pPr>
        <w:pStyle w:val="Compact"/>
        <w:numPr>
          <w:ilvl w:val="0"/>
          <w:numId w:val="1036"/>
        </w:numPr>
      </w:pPr>
      <w:r>
        <w:t xml:space="preserve">Some data can also be openly accessed by an Programming Application Interface (API)</w:t>
      </w:r>
    </w:p>
    <w:p>
      <w:pPr>
        <w:pStyle w:val="Compact"/>
        <w:numPr>
          <w:ilvl w:val="0"/>
          <w:numId w:val="1036"/>
        </w:numPr>
      </w:pPr>
      <w:r>
        <w:t xml:space="preserve">The PX-WEB API is used by a large number of statistical authorities (and others) world-widea to provide access to aggregated data</w:t>
      </w:r>
    </w:p>
    <w:p>
      <w:pPr>
        <w:pStyle w:val="Compact"/>
        <w:numPr>
          <w:ilvl w:val="0"/>
          <w:numId w:val="1036"/>
        </w:numPr>
      </w:pPr>
      <w:r>
        <w:t xml:space="preserve">The</w:t>
      </w:r>
      <w:r>
        <w:t xml:space="preserve"> </w:t>
      </w:r>
      <w:r>
        <w:rPr>
          <w:rStyle w:val="VerbatimChar"/>
        </w:rPr>
        <w:t xml:space="preserve">{pxweb}</w:t>
      </w:r>
      <w:r>
        <w:t xml:space="preserve"> </w:t>
      </w:r>
      <w:r>
        <w:t xml:space="preserve">R package simplifies the process</w:t>
      </w:r>
    </w:p>
    <w:bookmarkEnd w:id="76"/>
    <w:bookmarkStart w:id="77"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7"/>
    <w:bookmarkStart w:id="81" w:name="example-4"/>
    <w:p>
      <w:pPr>
        <w:pStyle w:val="Heading2"/>
      </w:pPr>
      <w:r>
        <w:t xml:space="preserve">Example</w:t>
      </w:r>
    </w:p>
    <w:p>
      <w:pPr>
        <w:pStyle w:val="Compact"/>
        <w:numPr>
          <w:ilvl w:val="0"/>
          <w:numId w:val="1037"/>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37"/>
        </w:numPr>
      </w:pPr>
      <w:r>
        <w:t xml:space="preserve">It will guide you through all the necessary steps.</w:t>
      </w:r>
    </w:p>
    <w:p>
      <w:pPr>
        <w:pStyle w:val="Compact"/>
        <w:numPr>
          <w:ilvl w:val="0"/>
          <w:numId w:val="1037"/>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79" name="Picture"/>
            <a:graphic>
              <a:graphicData uri="http://schemas.openxmlformats.org/drawingml/2006/picture">
                <pic:pic>
                  <pic:nvPicPr>
                    <pic:cNvPr descr="EL6_files/figure-docx/unnamed-chunk-8-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bookmarkEnd w:id="81"/>
    <w:bookmarkStart w:id="82" w:name="hierachical-data"/>
    <w:p>
      <w:pPr>
        <w:pStyle w:val="Heading2"/>
      </w:pPr>
      <w:r>
        <w:t xml:space="preserve">Hierachical data</w:t>
      </w:r>
    </w:p>
    <w:p>
      <w:pPr>
        <w:pStyle w:val="Compact"/>
        <w:numPr>
          <w:ilvl w:val="0"/>
          <w:numId w:val="1038"/>
        </w:numPr>
      </w:pPr>
      <w:r>
        <w:t xml:space="preserve">We like tabular data!</w:t>
      </w:r>
    </w:p>
    <w:p>
      <w:pPr>
        <w:pStyle w:val="Compact"/>
        <w:numPr>
          <w:ilvl w:val="0"/>
          <w:numId w:val="1038"/>
        </w:numPr>
      </w:pPr>
      <w:r>
        <w:t xml:space="preserve">If we get wide data we can transform it to long data (and vice versa)</w:t>
      </w:r>
    </w:p>
    <w:p>
      <w:pPr>
        <w:pStyle w:val="Compact"/>
        <w:numPr>
          <w:ilvl w:val="0"/>
          <w:numId w:val="1038"/>
        </w:numPr>
      </w:pPr>
      <w:r>
        <w:t xml:space="preserve">But we might sometimes encounter more hierarchical data structures</w:t>
      </w:r>
    </w:p>
    <w:p>
      <w:pPr>
        <w:pStyle w:val="Compact"/>
        <w:numPr>
          <w:ilvl w:val="0"/>
          <w:numId w:val="1038"/>
        </w:numPr>
      </w:pPr>
      <w:r>
        <w:t xml:space="preserve">JSON (JavaScript Object Notation) most popular</w:t>
      </w:r>
    </w:p>
    <w:p>
      <w:pPr>
        <w:pStyle w:val="Compact"/>
        <w:numPr>
          <w:ilvl w:val="0"/>
          <w:numId w:val="1038"/>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2"/>
    <w:bookmarkStart w:id="83"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3"/>
    <w:bookmarkStart w:id="94"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3" w:name="refs"/>
    <w:bookmarkStart w:id="85"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4">
        <w:r>
          <w:rPr>
            <w:rStyle w:val="Hyperlink"/>
          </w:rPr>
          <w:t xml:space="preserve">https://arelbundock.com/posts/dt_tb_df/index.html</w:t>
        </w:r>
      </w:hyperlink>
      <w:r>
        <w:t xml:space="preserve">.</w:t>
      </w:r>
    </w:p>
    <w:bookmarkEnd w:id="85"/>
    <w:bookmarkStart w:id="87" w:name="ref-dataana"/>
    <w:p>
      <w:pPr>
        <w:pStyle w:val="Bibliography"/>
      </w:pPr>
      <w:r>
        <w:rPr>
          <w:i/>
          <w:iCs/>
        </w:rPr>
        <w:t xml:space="preserve">Data Analysis Using Data.table</w:t>
      </w:r>
      <w:r>
        <w:t xml:space="preserve">. n.d. 2026.</w:t>
      </w:r>
      <w:r>
        <w:t xml:space="preserve"> </w:t>
      </w:r>
      <w:hyperlink r:id="rId86">
        <w:r>
          <w:rPr>
            <w:rStyle w:val="Hyperlink"/>
          </w:rPr>
          <w:t xml:space="preserve">https://cran.r-project.org/web/packages/data.table/vignettes/datatable-intro.html</w:t>
        </w:r>
      </w:hyperlink>
      <w:r>
        <w:t xml:space="preserve">.</w:t>
      </w:r>
    </w:p>
    <w:bookmarkEnd w:id="87"/>
    <w:bookmarkStart w:id="89"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8">
        <w:r>
          <w:rPr>
            <w:rStyle w:val="Hyperlink"/>
          </w:rPr>
          <w:t xml:space="preserve">https://doi.org/10.1101/2025.10.15.25337992</w:t>
        </w:r>
      </w:hyperlink>
      <w:r>
        <w:t xml:space="preserve">.</w:t>
      </w:r>
    </w:p>
    <w:bookmarkEnd w:id="89"/>
    <w:bookmarkStart w:id="9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0"/>
    <w:bookmarkStart w:id="92" w:name="ref-wickham"/>
    <w:p>
      <w:pPr>
        <w:pStyle w:val="Bibliography"/>
      </w:pPr>
      <w:r>
        <w:t xml:space="preserve">Wickham, Hadley, Mine Çetinkaya-Rundel, and Garrett Grolemund. n.d.</w:t>
      </w:r>
      <w:r>
        <w:t xml:space="preserve"> </w:t>
      </w:r>
      <w:r>
        <w:t xml:space="preserve">“R for Data Science (2e).”</w:t>
      </w:r>
      <w:r>
        <w:t xml:space="preserve"> </w:t>
      </w:r>
      <w:hyperlink r:id="rId91">
        <w:r>
          <w:rPr>
            <w:rStyle w:val="Hyperlink"/>
          </w:rPr>
          <w:t xml:space="preserve">https://r4ds.hadley.nz/</w:t>
        </w:r>
      </w:hyperlink>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8" Target="media/rId78.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4" Target="https://arelbundock.com/posts/dt_tb_df/index.html" TargetMode="External" /><Relationship Type="http://schemas.openxmlformats.org/officeDocument/2006/relationships/hyperlink" Id="rId86"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8"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1"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6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2026-02-27T14:49:55Z</dcterms:created>
  <dcterms:modified xsi:type="dcterms:W3CDTF">2026-02-27T14:49:55Z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