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88.png" ContentType="image/png"/>
  <Override PartName="/word/media/rId55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coding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own (health informatics)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“kräfta”</w:t>
      </w:r>
      <w:r>
        <w:t xml:space="preserve"> </w:t>
      </w:r>
      <w:r>
        <w:t xml:space="preserve">(Swedish) =</w:t>
      </w:r>
      <w:r>
        <w:t xml:space="preserve"> </w:t>
      </w:r>
      <w:r>
        <w:rPr>
          <w:b/>
          <w:bCs/>
        </w:rPr>
        <w:t xml:space="preserve">cancer</w:t>
      </w:r>
      <w:r>
        <w:t xml:space="preserve"> </w:t>
      </w:r>
      <w:r>
        <w:t xml:space="preserve">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</w:t>
      </w:r>
      <w:r>
        <w:t xml:space="preserve"> </w:t>
      </w:r>
      <w:r>
        <w:t xml:space="preserve">“crab”</w:t>
      </w:r>
      <w:r>
        <w:t xml:space="preserve"> </w:t>
      </w:r>
      <w:r>
        <w:t xml:space="preserve">(latin does not distinguish the two)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</w:t>
      </w:r>
      <w:r>
        <w:t xml:space="preserve"> </w:t>
      </w:r>
      <w:r>
        <w:rPr>
          <w:b/>
          <w:bCs/>
        </w:rPr>
        <w:t xml:space="preserve">malignant neoplasm</w:t>
      </w:r>
      <w:r>
        <w:t xml:space="preserve"> </w:t>
      </w:r>
      <w:r>
        <w:t xml:space="preserve">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</w:t>
      </w:r>
      <w:r>
        <w:t xml:space="preserve"> </w:t>
      </w:r>
      <w:r>
        <w:rPr>
          <w:b/>
          <w:bCs/>
        </w:rPr>
        <w:t xml:space="preserve">invasive adenocarcinoma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Evidence of</w:t>
      </w:r>
      <w:r>
        <w:t xml:space="preserve"> </w:t>
      </w:r>
      <w:r>
        <w:rPr>
          <w:b/>
          <w:bCs/>
        </w:rPr>
        <w:t xml:space="preserve">metastatic disease</w:t>
      </w:r>
      <w:r>
        <w:t xml:space="preserve"> </w:t>
      </w:r>
      <w:r>
        <w:t xml:space="preserve">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(English/Swedish/Latin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7" w:name="granularityreliability"/>
    <w:p>
      <w:pPr>
        <w:pStyle w:val="Heading2"/>
      </w:pPr>
      <w:r>
        <w:t xml:space="preserve">Granularity/reliability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granular and precise, the data quality often relies on different coding practices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misused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 (</w:t>
      </w:r>
      <w:hyperlink r:id="rId26">
        <w:r>
          <w:rPr>
            <w:rStyle w:val="Hyperlink"/>
          </w:rPr>
          <w:t xml:space="preserve">you may read about int in Swedish</w:t>
        </w:r>
      </w:hyperlink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translated to a code by administrative staff</w:t>
      </w:r>
    </w:p>
    <w:bookmarkEnd w:id="27"/>
    <w:bookmarkStart w:id="28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anesthesia. During general anesthesia,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8"/>
    <w:bookmarkStart w:id="29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9"/>
    <w:bookmarkStart w:id="30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30"/>
    <w:bookmarkStart w:id="31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1"/>
    <w:bookmarkStart w:id="32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Several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31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2"/>
    <w:bookmarkStart w:id="33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</w:t>
      </w:r>
    </w:p>
    <w:p>
      <w:pPr>
        <w:pStyle w:val="Compact"/>
        <w:numPr>
          <w:ilvl w:val="0"/>
          <w:numId w:val="1022"/>
        </w:numPr>
      </w:pPr>
      <w:r>
        <w:t xml:space="preserve">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3"/>
    <w:bookmarkStart w:id="34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4"/>
    <w:bookmarkStart w:id="35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5"/>
    <w:bookmarkStart w:id="36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(1-to-many) into more detailed categories (common)</w:t>
      </w:r>
    </w:p>
    <w:p>
      <w:pPr>
        <w:pStyle w:val="Compact"/>
        <w:numPr>
          <w:ilvl w:val="0"/>
          <w:numId w:val="1028"/>
        </w:numPr>
      </w:pPr>
      <w:r>
        <w:t xml:space="preserve">Codes may be merged (many-to-one, although uncommon)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 (affects the aggregated chapter counts/incidence/prevalence)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6"/>
    <w:bookmarkStart w:id="37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analyzing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7"/>
    <w:bookmarkStart w:id="38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2"/>
        <w:gridCol w:w="1952"/>
        <w:gridCol w:w="1952"/>
        <w:gridCol w:w="20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Septicaemia; 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psychoses; 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disorders); 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8"/>
    <w:bookmarkStart w:id="40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1"/>
          <w:numId w:val="1032"/>
        </w:numPr>
      </w:pPr>
      <w:r>
        <w:t xml:space="preserve">Updated regularly,</w:t>
      </w:r>
      <w:r>
        <w:t xml:space="preserve"> </w:t>
      </w:r>
      <w:hyperlink r:id="rId39">
        <w:r>
          <w:rPr>
            <w:rStyle w:val="Hyperlink"/>
          </w:rPr>
          <w:t xml:space="preserve">2026 version with 360 pages (in Swedish)</w:t>
        </w:r>
      </w:hyperlink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3"/>
        </w:numPr>
      </w:pPr>
      <w:r>
        <w:t xml:space="preserve">Applies if you want to look at longer time trends etc or combine data from different periods</w:t>
      </w:r>
    </w:p>
    <w:bookmarkEnd w:id="40"/>
    <w:bookmarkStart w:id="41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4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4"/>
        </w:numPr>
      </w:pPr>
      <w:r>
        <w:t xml:space="preserve">Combines:</w:t>
      </w:r>
    </w:p>
    <w:p>
      <w:pPr>
        <w:pStyle w:val="Compact"/>
        <w:numPr>
          <w:ilvl w:val="1"/>
          <w:numId w:val="1035"/>
        </w:numPr>
      </w:pPr>
      <w:r>
        <w:t xml:space="preserve">Topography (tumour site)</w:t>
      </w:r>
    </w:p>
    <w:p>
      <w:pPr>
        <w:pStyle w:val="Compact"/>
        <w:numPr>
          <w:ilvl w:val="1"/>
          <w:numId w:val="1035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4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4"/>
        </w:numPr>
      </w:pPr>
      <w:r>
        <w:t xml:space="preserve">Earlier versions: ICD-O, ICD-O-2</w:t>
      </w:r>
    </w:p>
    <w:p>
      <w:pPr>
        <w:pStyle w:val="Compact"/>
        <w:numPr>
          <w:ilvl w:val="0"/>
          <w:numId w:val="1034"/>
        </w:numPr>
      </w:pPr>
      <w:r>
        <w:t xml:space="preserve">ICD-O is more detailed than ICD-10 for cancer incidence studies.</w:t>
      </w:r>
    </w:p>
    <w:bookmarkEnd w:id="41"/>
    <w:bookmarkStart w:id="48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6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6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7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7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aste-30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paste-3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variation-in-coding"/>
    <w:p>
      <w:pPr>
        <w:pStyle w:val="Heading2"/>
      </w:pPr>
      <w:r>
        <w:t xml:space="preserve">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8"/>
        </w:numPr>
      </w:pPr>
      <w:r>
        <w:t xml:space="preserve">Coding training</w:t>
      </w:r>
    </w:p>
    <w:p>
      <w:pPr>
        <w:pStyle w:val="Compact"/>
        <w:numPr>
          <w:ilvl w:val="1"/>
          <w:numId w:val="1039"/>
        </w:numPr>
      </w:pPr>
      <w:r>
        <w:t xml:space="preserve">A primary health care unit may encounter all possible diagnosis (wide but shallow knowledge) while a very specialized unit might have routines for a very narrow but detailed coding</w:t>
      </w:r>
    </w:p>
    <w:p>
      <w:pPr>
        <w:pStyle w:val="Compact"/>
        <w:numPr>
          <w:ilvl w:val="0"/>
          <w:numId w:val="1038"/>
        </w:numPr>
      </w:pPr>
      <w:r>
        <w:t xml:space="preserve">Local guidelines</w:t>
      </w:r>
    </w:p>
    <w:p>
      <w:pPr>
        <w:pStyle w:val="Compact"/>
        <w:numPr>
          <w:ilvl w:val="1"/>
          <w:numId w:val="1040"/>
        </w:numPr>
      </w:pPr>
      <w:r>
        <w:t xml:space="preserve">Regions are independent in Sweden</w:t>
      </w:r>
    </w:p>
    <w:p>
      <w:pPr>
        <w:pStyle w:val="Compact"/>
        <w:numPr>
          <w:ilvl w:val="0"/>
          <w:numId w:val="1038"/>
        </w:numPr>
      </w:pPr>
      <w:r>
        <w:t xml:space="preserve">Administrative incentives</w:t>
      </w:r>
    </w:p>
    <w:p>
      <w:pPr>
        <w:pStyle w:val="Compact"/>
        <w:numPr>
          <w:ilvl w:val="0"/>
          <w:numId w:val="1038"/>
        </w:numPr>
      </w:pPr>
      <w:r>
        <w:t xml:space="preserve">Reimbursement systems</w:t>
      </w:r>
    </w:p>
    <w:p>
      <w:pPr>
        <w:pStyle w:val="Compact"/>
        <w:numPr>
          <w:ilvl w:val="1"/>
          <w:numId w:val="1041"/>
        </w:numPr>
      </w:pPr>
      <w:r>
        <w:t xml:space="preserve">public and private health care providers may have different incentives</w:t>
      </w:r>
    </w:p>
    <w:p>
      <w:pPr>
        <w:pStyle w:val="Compact"/>
        <w:numPr>
          <w:ilvl w:val="0"/>
          <w:numId w:val="1038"/>
        </w:numPr>
      </w:pPr>
      <w:r>
        <w:t xml:space="preserve">Electronic health record design</w:t>
      </w:r>
    </w:p>
    <w:p>
      <w:pPr>
        <w:pStyle w:val="Compact"/>
        <w:numPr>
          <w:ilvl w:val="1"/>
          <w:numId w:val="1042"/>
        </w:numPr>
      </w:pPr>
      <w:r>
        <w:t xml:space="preserve">National registers often relies on combining multiple different sources</w:t>
      </w:r>
    </w:p>
    <w:p>
      <w:pPr>
        <w:pStyle w:val="Compact"/>
        <w:numPr>
          <w:ilvl w:val="0"/>
          <w:numId w:val="1038"/>
        </w:numPr>
      </w:pPr>
      <w:r>
        <w:t xml:space="preserve">Somatic vs psychiatric care</w:t>
      </w:r>
    </w:p>
    <w:p>
      <w:pPr>
        <w:pStyle w:val="Compact"/>
        <w:numPr>
          <w:ilvl w:val="1"/>
          <w:numId w:val="1043"/>
        </w:numPr>
      </w:pPr>
      <w:r>
        <w:t xml:space="preserve">In psychiatric care, diagnoses may sometimes be recorded with less specificity, potentially due to concerns about stigma or the sensitive nature of certain conditions</w:t>
      </w:r>
    </w:p>
    <w:p>
      <w:pPr>
        <w:pStyle w:val="FirstParagraph"/>
      </w:pPr>
      <w:r>
        <w:t xml:space="preserve">Registers capture both clinical events and coding behaviour.</w:t>
      </w:r>
    </w:p>
    <w:bookmarkEnd w:id="49"/>
    <w:bookmarkStart w:id="50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44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50"/>
    <w:bookmarkStart w:id="51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51"/>
    <w:bookmarkStart w:id="52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6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6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6"/>
        </w:numPr>
      </w:pPr>
      <w:r>
        <w:t xml:space="preserve">PPV = True positives / (True positives + False positives)</w:t>
      </w:r>
    </w:p>
    <w:bookmarkEnd w:id="52"/>
    <w:bookmarkStart w:id="53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7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7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7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7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3"/>
    <w:bookmarkStart w:id="54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8"/>
        </w:numPr>
      </w:pPr>
      <w:r>
        <w:t xml:space="preserve">Which ICD version?</w:t>
      </w:r>
    </w:p>
    <w:p>
      <w:pPr>
        <w:pStyle w:val="Compact"/>
        <w:numPr>
          <w:ilvl w:val="0"/>
          <w:numId w:val="1048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8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8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8"/>
        </w:numPr>
      </w:pPr>
      <w:r>
        <w:t xml:space="preserve">Are crosswalks required?</w:t>
      </w:r>
    </w:p>
    <w:p>
      <w:pPr>
        <w:pStyle w:val="Compact"/>
        <w:numPr>
          <w:ilvl w:val="0"/>
          <w:numId w:val="1048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4"/>
    <w:bookmarkStart w:id="58" w:name="atc-for-drugs"/>
    <w:p>
      <w:pPr>
        <w:pStyle w:val="Heading2"/>
      </w:pPr>
      <w:r>
        <w:t xml:space="preserve">ATC for drugs</w:t>
      </w:r>
    </w:p>
    <w:p>
      <w:pPr>
        <w:pStyle w:val="Compact"/>
        <w:numPr>
          <w:ilvl w:val="0"/>
          <w:numId w:val="1049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9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9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9"/>
        </w:numPr>
      </w:pPr>
      <w:r>
        <w:t xml:space="preserve">introduced in the 1960s</w:t>
      </w:r>
    </w:p>
    <w:p>
      <w:pPr>
        <w:pStyle w:val="Compact"/>
        <w:numPr>
          <w:ilvl w:val="0"/>
          <w:numId w:val="1049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9"/>
        </w:numPr>
      </w:pPr>
      <w:r>
        <w:t xml:space="preserve">follow a hierarchical structure: 1 letter, 2 digits, 2 letters, 2 digits</w:t>
      </w:r>
    </w:p>
    <w:p>
      <w:pPr>
        <w:pStyle w:val="Compact"/>
        <w:numPr>
          <w:ilvl w:val="1"/>
          <w:numId w:val="105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9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paste-2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0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51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51"/>
        </w:numPr>
      </w:pPr>
      <w:r>
        <w:t xml:space="preserve">When a doctor prescribes a medication, the ATC code will follow automatically</w:t>
      </w:r>
    </w:p>
    <w:p>
      <w:pPr>
        <w:pStyle w:val="Compact"/>
        <w:numPr>
          <w:ilvl w:val="0"/>
          <w:numId w:val="1051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51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51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51"/>
        </w:numPr>
      </w:pPr>
      <w:r>
        <w:t xml:space="preserve">Daily updates to the</w:t>
      </w:r>
      <w:r>
        <w:t xml:space="preserve"> </w:t>
      </w:r>
      <w:hyperlink r:id="rId59">
        <w:r>
          <w:rPr>
            <w:rStyle w:val="Hyperlink"/>
          </w:rPr>
          <w:t xml:space="preserve">National Substance Register</w:t>
        </w:r>
      </w:hyperlink>
    </w:p>
    <w:bookmarkEnd w:id="60"/>
    <w:bookmarkStart w:id="61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52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52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52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52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53"/>
        </w:numPr>
      </w:pPr>
      <w:r>
        <w:t xml:space="preserve">PCS = Procedure Coding System</w:t>
      </w:r>
    </w:p>
    <w:bookmarkEnd w:id="61"/>
    <w:bookmarkStart w:id="62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54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54"/>
        </w:numPr>
      </w:pPr>
      <w:r>
        <w:t xml:space="preserve">Primarily for on surgical procedures</w:t>
      </w:r>
    </w:p>
    <w:bookmarkEnd w:id="62"/>
    <w:bookmarkStart w:id="63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55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55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55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55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6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6"/>
        </w:numPr>
      </w:pPr>
      <w:r>
        <w:t xml:space="preserve">Radiotherapy sessions</w:t>
      </w:r>
    </w:p>
    <w:p>
      <w:pPr>
        <w:pStyle w:val="Compact"/>
        <w:numPr>
          <w:ilvl w:val="1"/>
          <w:numId w:val="1056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6"/>
        </w:numPr>
      </w:pPr>
      <w:r>
        <w:t xml:space="preserve">Blood transfusion</w:t>
      </w:r>
    </w:p>
    <w:p>
      <w:pPr>
        <w:pStyle w:val="Compact"/>
        <w:numPr>
          <w:ilvl w:val="1"/>
          <w:numId w:val="1056"/>
        </w:numPr>
      </w:pPr>
      <w:r>
        <w:t xml:space="preserve">Vaccination</w:t>
      </w:r>
    </w:p>
    <w:p>
      <w:pPr>
        <w:pStyle w:val="Compact"/>
        <w:numPr>
          <w:ilvl w:val="1"/>
          <w:numId w:val="1056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6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6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6"/>
        </w:numPr>
      </w:pPr>
      <w:r>
        <w:t xml:space="preserve">Nutritional counselling</w:t>
      </w:r>
    </w:p>
    <w:p>
      <w:pPr>
        <w:pStyle w:val="Compact"/>
        <w:numPr>
          <w:ilvl w:val="1"/>
          <w:numId w:val="1056"/>
        </w:numPr>
      </w:pPr>
      <w:r>
        <w:t xml:space="preserve">Physiotherapy interventions</w:t>
      </w:r>
    </w:p>
    <w:p>
      <w:pPr>
        <w:pStyle w:val="Compact"/>
        <w:numPr>
          <w:ilvl w:val="1"/>
          <w:numId w:val="1056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6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6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6"/>
        </w:numPr>
      </w:pPr>
      <w:r>
        <w:t xml:space="preserve">Palliative care planning</w:t>
      </w:r>
    </w:p>
    <w:bookmarkEnd w:id="63"/>
    <w:bookmarkStart w:id="64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7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7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7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4"/>
    <w:bookmarkStart w:id="65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9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9"/>
        </w:numPr>
      </w:pPr>
      <w:r>
        <w:t xml:space="preserve">Used in:</w:t>
      </w:r>
    </w:p>
    <w:p>
      <w:pPr>
        <w:pStyle w:val="Compact"/>
        <w:numPr>
          <w:ilvl w:val="1"/>
          <w:numId w:val="1060"/>
        </w:numPr>
      </w:pPr>
      <w:r>
        <w:t xml:space="preserve">National Patient Register</w:t>
      </w:r>
    </w:p>
    <w:p>
      <w:pPr>
        <w:pStyle w:val="Compact"/>
        <w:numPr>
          <w:ilvl w:val="1"/>
          <w:numId w:val="1060"/>
        </w:numPr>
      </w:pPr>
      <w:r>
        <w:t xml:space="preserve">Quality registers</w:t>
      </w:r>
    </w:p>
    <w:p>
      <w:pPr>
        <w:pStyle w:val="Compact"/>
        <w:numPr>
          <w:ilvl w:val="1"/>
          <w:numId w:val="1060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60"/>
        </w:numPr>
      </w:pPr>
      <w:r>
        <w:t xml:space="preserve">Health services research</w:t>
      </w:r>
    </w:p>
    <w:bookmarkEnd w:id="65"/>
    <w:bookmarkStart w:id="66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62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62"/>
        </w:numPr>
      </w:pPr>
      <w:r>
        <w:t xml:space="preserve">A NOMESCO procedure code (e.g., hip replacement surgery)</w:t>
      </w:r>
    </w:p>
    <w:bookmarkEnd w:id="66"/>
    <w:bookmarkStart w:id="67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3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63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64"/>
        </w:numPr>
      </w:pPr>
      <w:r>
        <w:t xml:space="preserve">Clinical practice changes</w:t>
      </w:r>
    </w:p>
    <w:p>
      <w:pPr>
        <w:pStyle w:val="Compact"/>
        <w:numPr>
          <w:ilvl w:val="1"/>
          <w:numId w:val="1064"/>
        </w:numPr>
      </w:pPr>
      <w:r>
        <w:t xml:space="preserve">Technology changes</w:t>
      </w:r>
    </w:p>
    <w:p>
      <w:pPr>
        <w:pStyle w:val="Compact"/>
        <w:numPr>
          <w:ilvl w:val="1"/>
          <w:numId w:val="1064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63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7"/>
    <w:bookmarkStart w:id="68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65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65"/>
        </w:numPr>
      </w:pPr>
      <w:r>
        <w:t xml:space="preserve">Used for:</w:t>
      </w:r>
    </w:p>
    <w:p>
      <w:pPr>
        <w:pStyle w:val="Compact"/>
        <w:numPr>
          <w:ilvl w:val="1"/>
          <w:numId w:val="1066"/>
        </w:numPr>
      </w:pPr>
      <w:r>
        <w:t xml:space="preserve">Hospital reimbursement</w:t>
      </w:r>
    </w:p>
    <w:p>
      <w:pPr>
        <w:pStyle w:val="Compact"/>
        <w:numPr>
          <w:ilvl w:val="1"/>
          <w:numId w:val="1066"/>
        </w:numPr>
      </w:pPr>
      <w:r>
        <w:t xml:space="preserve">Resource allocation</w:t>
      </w:r>
    </w:p>
    <w:p>
      <w:pPr>
        <w:pStyle w:val="Compact"/>
        <w:numPr>
          <w:ilvl w:val="1"/>
          <w:numId w:val="1066"/>
        </w:numPr>
      </w:pPr>
      <w:r>
        <w:t xml:space="preserve">Health care management</w:t>
      </w:r>
    </w:p>
    <w:p>
      <w:pPr>
        <w:pStyle w:val="Compact"/>
        <w:numPr>
          <w:ilvl w:val="1"/>
          <w:numId w:val="1066"/>
        </w:numPr>
      </w:pPr>
      <w:r>
        <w:t xml:space="preserve">Productivity and efficiency analyses</w:t>
      </w:r>
    </w:p>
    <w:bookmarkEnd w:id="68"/>
    <w:bookmarkStart w:id="69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7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7"/>
        </w:numPr>
      </w:pPr>
      <w:r>
        <w:t xml:space="preserve">Secondary diagnoses</w:t>
      </w:r>
    </w:p>
    <w:p>
      <w:pPr>
        <w:pStyle w:val="Compact"/>
        <w:numPr>
          <w:ilvl w:val="0"/>
          <w:numId w:val="1067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7"/>
        </w:numPr>
      </w:pPr>
      <w:r>
        <w:t xml:space="preserve">Age</w:t>
      </w:r>
    </w:p>
    <w:p>
      <w:pPr>
        <w:pStyle w:val="Compact"/>
        <w:numPr>
          <w:ilvl w:val="0"/>
          <w:numId w:val="1067"/>
        </w:numPr>
      </w:pPr>
      <w:r>
        <w:t xml:space="preserve">Sex</w:t>
      </w:r>
    </w:p>
    <w:p>
      <w:pPr>
        <w:pStyle w:val="Compact"/>
        <w:numPr>
          <w:ilvl w:val="0"/>
          <w:numId w:val="1067"/>
        </w:numPr>
      </w:pPr>
      <w:r>
        <w:t xml:space="preserve">Discharge status</w:t>
      </w:r>
    </w:p>
    <w:p>
      <w:pPr>
        <w:pStyle w:val="Compact"/>
        <w:numPr>
          <w:ilvl w:val="0"/>
          <w:numId w:val="1067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9"/>
    <w:bookmarkStart w:id="70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8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8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8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8"/>
        </w:numPr>
      </w:pPr>
      <w:r>
        <w:t xml:space="preserve">DRG is suitable for health services and economic analyses, but less appropriate for etiological research.</w:t>
      </w:r>
    </w:p>
    <w:bookmarkEnd w:id="70"/>
    <w:bookmarkStart w:id="71" w:name="snomed-ct-what-is-it"/>
    <w:p>
      <w:pPr>
        <w:pStyle w:val="Heading2"/>
      </w:pPr>
      <w:r>
        <w:t xml:space="preserve">SNOMED CT – What Is It?</w:t>
      </w:r>
    </w:p>
    <w:p>
      <w:pPr>
        <w:pStyle w:val="FirstParagraph"/>
      </w:pPr>
      <w:r>
        <w:rPr>
          <w:b/>
          <w:bCs/>
        </w:rPr>
        <w:t xml:space="preserve">SNOMED CT (Systematized Nomenclature of Medicine – Clinical Terms)</w:t>
      </w:r>
      <w:r>
        <w:t xml:space="preserve"> </w:t>
      </w:r>
      <w:r>
        <w:t xml:space="preserve">is a large clinical terminology system.</w:t>
      </w:r>
    </w:p>
    <w:p>
      <w:pPr>
        <w:pStyle w:val="Compact"/>
        <w:numPr>
          <w:ilvl w:val="0"/>
          <w:numId w:val="1069"/>
        </w:numPr>
      </w:pPr>
      <w:r>
        <w:t xml:space="preserve">Maintained by</w:t>
      </w:r>
      <w:r>
        <w:t xml:space="preserve"> </w:t>
      </w:r>
      <w:r>
        <w:rPr>
          <w:b/>
          <w:bCs/>
        </w:rPr>
        <w:t xml:space="preserve">SNOMED International</w:t>
      </w:r>
    </w:p>
    <w:p>
      <w:pPr>
        <w:pStyle w:val="Compact"/>
        <w:numPr>
          <w:ilvl w:val="0"/>
          <w:numId w:val="1069"/>
        </w:numPr>
      </w:pPr>
      <w:r>
        <w:t xml:space="preserve">Contains</w:t>
      </w:r>
      <w:r>
        <w:t xml:space="preserve"> </w:t>
      </w:r>
      <w:r>
        <w:rPr>
          <w:b/>
          <w:bCs/>
        </w:rPr>
        <w:t xml:space="preserve">hundreds of thousands of clinical concepts</w:t>
      </w:r>
    </w:p>
    <w:p>
      <w:pPr>
        <w:pStyle w:val="Compact"/>
        <w:numPr>
          <w:ilvl w:val="0"/>
          <w:numId w:val="1069"/>
        </w:numPr>
      </w:pPr>
      <w:r>
        <w:t xml:space="preserve">Designed for</w:t>
      </w:r>
      <w:r>
        <w:t xml:space="preserve"> </w:t>
      </w:r>
      <w:r>
        <w:rPr>
          <w:b/>
          <w:bCs/>
        </w:rPr>
        <w:t xml:space="preserve">structured documentation in electronic health records</w:t>
      </w:r>
    </w:p>
    <w:p>
      <w:pPr>
        <w:pStyle w:val="FirstParagraph"/>
      </w:pPr>
      <w:r>
        <w:t xml:space="preserve">Unlike ICD or ATC, SNOMED CT is primarily a</w:t>
      </w:r>
      <w:r>
        <w:t xml:space="preserve"> </w:t>
      </w:r>
      <w:r>
        <w:rPr>
          <w:b/>
          <w:bCs/>
        </w:rPr>
        <w:t xml:space="preserve">terminology</w:t>
      </w:r>
      <w:r>
        <w:t xml:space="preserve">, not a statistical classification.</w:t>
      </w:r>
    </w:p>
    <w:bookmarkEnd w:id="71"/>
    <w:bookmarkStart w:id="72" w:name="terminology-vs-classification"/>
    <w:p>
      <w:pPr>
        <w:pStyle w:val="Heading2"/>
      </w:pPr>
      <w:r>
        <w:t xml:space="preserve">Terminology vs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Epidemiology and health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ATC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Drug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KVÅ / NOMESCO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Medical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SNOMED CT</w:t>
            </w:r>
          </w:p>
        </w:tc>
        <w:tc>
          <w:tcPr/>
          <w:p>
            <w:pPr>
              <w:pStyle w:val="Compact"/>
            </w:pPr>
            <w:r>
              <w:t xml:space="preserve">Terminology</w:t>
            </w:r>
          </w:p>
        </w:tc>
        <w:tc>
          <w:tcPr/>
          <w:p>
            <w:pPr>
              <w:pStyle w:val="Compact"/>
            </w:pPr>
            <w:r>
              <w:t xml:space="preserve">Detailed clinical documentation</w:t>
            </w:r>
          </w:p>
        </w:tc>
      </w:tr>
    </w:tbl>
    <w:p>
      <w:pPr>
        <w:pStyle w:val="BodyText"/>
      </w:pPr>
      <w:r>
        <w:t xml:space="preserve">Classification systems simplify reality for</w:t>
      </w:r>
      <w:r>
        <w:t xml:space="preserve"> </w:t>
      </w:r>
      <w:r>
        <w:rPr>
          <w:b/>
          <w:bCs/>
        </w:rPr>
        <w:t xml:space="preserve">statistics and reporting</w:t>
      </w:r>
      <w:r>
        <w:t xml:space="preserve">, while terminologies allow</w:t>
      </w:r>
      <w:r>
        <w:t xml:space="preserve"> </w:t>
      </w:r>
      <w:r>
        <w:rPr>
          <w:b/>
          <w:bCs/>
        </w:rPr>
        <w:t xml:space="preserve">very detailed clinical descriptions</w:t>
      </w:r>
      <w:r>
        <w:t xml:space="preserve">.</w:t>
      </w:r>
    </w:p>
    <w:bookmarkEnd w:id="72"/>
    <w:bookmarkStart w:id="73" w:name="X83068a512e7e3cebce2553430415c091755fa49"/>
    <w:p>
      <w:pPr>
        <w:pStyle w:val="Heading2"/>
      </w:pPr>
      <w:r>
        <w:t xml:space="preserve">Why SNOMED CT Is Not Widely Used in Registers</w:t>
      </w:r>
    </w:p>
    <w:p>
      <w:pPr>
        <w:pStyle w:val="FirstParagraph"/>
      </w:pPr>
      <w:r>
        <w:t xml:space="preserve">Despite its strengths, SNOMED CT is rarely used directly in:</w:t>
      </w:r>
    </w:p>
    <w:p>
      <w:pPr>
        <w:pStyle w:val="Compact"/>
        <w:numPr>
          <w:ilvl w:val="0"/>
          <w:numId w:val="1070"/>
        </w:numPr>
      </w:pPr>
      <w:r>
        <w:t xml:space="preserve">national health registers</w:t>
      </w:r>
    </w:p>
    <w:p>
      <w:pPr>
        <w:pStyle w:val="Compact"/>
        <w:numPr>
          <w:ilvl w:val="0"/>
          <w:numId w:val="1070"/>
        </w:numPr>
      </w:pPr>
      <w:r>
        <w:t xml:space="preserve">epidemiological statistics</w:t>
      </w:r>
    </w:p>
    <w:p>
      <w:pPr>
        <w:pStyle w:val="FirstParagraph"/>
      </w:pPr>
      <w:r>
        <w:t xml:space="preserve">Main reasons: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Too detailed</w:t>
      </w:r>
      <w:r>
        <w:t xml:space="preserve"> </w:t>
      </w:r>
      <w:r>
        <w:t xml:space="preserve">for statistical aggregation</w:t>
      </w:r>
    </w:p>
    <w:p>
      <w:pPr>
        <w:pStyle w:val="Compact"/>
        <w:numPr>
          <w:ilvl w:val="0"/>
          <w:numId w:val="1071"/>
        </w:numPr>
      </w:pPr>
      <w:r>
        <w:t xml:space="preserve">Harder to ensure consistent coding</w:t>
      </w:r>
    </w:p>
    <w:p>
      <w:pPr>
        <w:pStyle w:val="Compact"/>
        <w:numPr>
          <w:ilvl w:val="0"/>
          <w:numId w:val="1071"/>
        </w:numPr>
      </w:pPr>
      <w:r>
        <w:t xml:space="preserve">Statistical reporting systems are built around</w:t>
      </w:r>
      <w:r>
        <w:t xml:space="preserve"> </w:t>
      </w:r>
      <w:r>
        <w:rPr>
          <w:b/>
          <w:bCs/>
        </w:rPr>
        <w:t xml:space="preserve">ICD</w:t>
      </w:r>
    </w:p>
    <w:bookmarkEnd w:id="73"/>
    <w:bookmarkStart w:id="103" w:name="regular-expressions"/>
    <w:p>
      <w:pPr>
        <w:pStyle w:val="Heading1"/>
      </w:pPr>
      <w:r>
        <w:t xml:space="preserve">Regular expressions</w:t>
      </w:r>
    </w:p>
    <w:bookmarkStart w:id="75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72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72"/>
        </w:numPr>
      </w:pPr>
      <w:r>
        <w:t xml:space="preserve">Used to:</w:t>
      </w:r>
    </w:p>
    <w:p>
      <w:pPr>
        <w:pStyle w:val="Compact"/>
        <w:numPr>
          <w:ilvl w:val="1"/>
          <w:numId w:val="1073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73"/>
        </w:numPr>
      </w:pPr>
      <w:r>
        <w:t xml:space="preserve">Identify drug codes (ATC)</w:t>
      </w:r>
    </w:p>
    <w:p>
      <w:pPr>
        <w:pStyle w:val="Compact"/>
        <w:numPr>
          <w:ilvl w:val="1"/>
          <w:numId w:val="1073"/>
        </w:numPr>
      </w:pPr>
      <w:r>
        <w:t xml:space="preserve">Clean register data</w:t>
      </w:r>
    </w:p>
    <w:p>
      <w:pPr>
        <w:pStyle w:val="Compact"/>
        <w:numPr>
          <w:ilvl w:val="1"/>
          <w:numId w:val="1073"/>
        </w:numPr>
      </w:pPr>
      <w:r>
        <w:t xml:space="preserve">Validate variables</w:t>
      </w:r>
    </w:p>
    <w:p>
      <w:pPr>
        <w:pStyle w:val="Compact"/>
        <w:numPr>
          <w:ilvl w:val="0"/>
          <w:numId w:val="1072"/>
        </w:numPr>
      </w:pPr>
      <w:r>
        <w:t xml:space="preserve">In R:</w:t>
      </w:r>
    </w:p>
    <w:p>
      <w:pPr>
        <w:pStyle w:val="Compact"/>
        <w:numPr>
          <w:ilvl w:val="1"/>
          <w:numId w:val="1074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74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74"/>
        </w:numPr>
      </w:pPr>
      <w:r>
        <w:t xml:space="preserve">More efficient for big data:</w:t>
      </w:r>
      <w:r>
        <w:t xml:space="preserve"> </w:t>
      </w:r>
      <w:hyperlink r:id="rId74">
        <w:r>
          <w:rPr>
            <w:rStyle w:val="Hyperlink"/>
          </w:rPr>
          <w:t xml:space="preserve">stringfish</w:t>
        </w:r>
      </w:hyperlink>
    </w:p>
    <w:bookmarkEnd w:id="75"/>
    <w:bookmarkStart w:id="76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75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75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75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75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6"/>
    <w:bookmarkStart w:id="80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80"/>
    <w:bookmarkStart w:id="81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76"/>
        </w:numPr>
      </w:pPr>
      <w:r>
        <w:t xml:space="preserve">One letter</w:t>
      </w:r>
    </w:p>
    <w:p>
      <w:pPr>
        <w:pStyle w:val="Compact"/>
        <w:numPr>
          <w:ilvl w:val="0"/>
          <w:numId w:val="1076"/>
        </w:numPr>
      </w:pPr>
      <w:r>
        <w:t xml:space="preserve">Two digits</w:t>
      </w:r>
    </w:p>
    <w:p>
      <w:pPr>
        <w:pStyle w:val="Compact"/>
        <w:numPr>
          <w:ilvl w:val="0"/>
          <w:numId w:val="1076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81"/>
    <w:bookmarkStart w:id="82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77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77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I22</w:t>
      </w:r>
    </w:p>
    <w:bookmarkEnd w:id="82"/>
    <w:bookmarkStart w:id="83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80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80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80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80"/>
        </w:numPr>
      </w:pPr>
      <w:r>
        <w:t xml:space="preserve">This will find any ATC code.</w:t>
      </w:r>
    </w:p>
    <w:p>
      <w:pPr>
        <w:numPr>
          <w:ilvl w:val="0"/>
          <w:numId w:val="1080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80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80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83"/>
    <w:bookmarkStart w:id="84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81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82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Stringfish seems technically sperior but is less maintained (more of a hobby project).</w:t>
      </w:r>
    </w:p>
    <w:bookmarkEnd w:id="84"/>
    <w:bookmarkStart w:id="86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83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84"/>
        </w:numPr>
      </w:pPr>
      <w:r>
        <w:t xml:space="preserve">This is problematic even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5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83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6"/>
    <w:bookmarkStart w:id="87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85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85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86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86"/>
        </w:numPr>
      </w:pPr>
      <w:r>
        <w:t xml:space="preserve">Are commonly used for:</w:t>
      </w:r>
    </w:p>
    <w:p>
      <w:pPr>
        <w:pStyle w:val="Compact"/>
        <w:numPr>
          <w:ilvl w:val="1"/>
          <w:numId w:val="1087"/>
        </w:numPr>
      </w:pPr>
      <w:r>
        <w:t xml:space="preserve">Risk adjustment</w:t>
      </w:r>
    </w:p>
    <w:p>
      <w:pPr>
        <w:pStyle w:val="Compact"/>
        <w:numPr>
          <w:ilvl w:val="1"/>
          <w:numId w:val="1087"/>
        </w:numPr>
      </w:pPr>
      <w:r>
        <w:t xml:space="preserve">Prognostic modelling</w:t>
      </w:r>
    </w:p>
    <w:p>
      <w:pPr>
        <w:pStyle w:val="Compact"/>
        <w:numPr>
          <w:ilvl w:val="1"/>
          <w:numId w:val="1087"/>
        </w:numPr>
      </w:pPr>
      <w:r>
        <w:t xml:space="preserve">Confounding control in observational studies</w:t>
      </w:r>
    </w:p>
    <w:bookmarkEnd w:id="87"/>
    <w:bookmarkStart w:id="91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88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88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91"/>
    <w:bookmarkStart w:id="102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9"/>
        </w:numPr>
      </w:pPr>
      <w:r>
        <w:t xml:space="preserve">Common applications include: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90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</w:p>
    <w:p>
      <w:pPr>
        <w:pStyle w:val="Compact"/>
        <w:numPr>
          <w:ilvl w:val="0"/>
          <w:numId w:val="1091"/>
        </w:numPr>
      </w:pPr>
      <w:r>
        <w:t xml:space="preserve">Standardised comorbidity adjustment</w:t>
      </w:r>
    </w:p>
    <w:p>
      <w:pPr>
        <w:pStyle w:val="Compact"/>
        <w:numPr>
          <w:ilvl w:val="0"/>
          <w:numId w:val="1091"/>
        </w:numPr>
      </w:pPr>
      <w:r>
        <w:t xml:space="preserve">(Sort of/relatively …) transparent and reproducible case definitions</w:t>
      </w:r>
    </w:p>
    <w:p>
      <w:pPr>
        <w:pStyle w:val="Compact"/>
        <w:numPr>
          <w:ilvl w:val="0"/>
          <w:numId w:val="1091"/>
        </w:numPr>
      </w:pPr>
      <w:r>
        <w:t xml:space="preserve">Consistent grouping across studies (hopefully)</w:t>
      </w:r>
    </w:p>
    <w:p>
      <w:r>
        <w:pict>
          <v:rect style="width:0;height:1.5pt" o:hralign="center" o:hrstd="t" o:hr="t"/>
        </w:pict>
      </w:r>
    </w:p>
    <w:bookmarkStart w:id="101" w:name="refs"/>
    <w:bookmarkStart w:id="93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92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93"/>
    <w:bookmarkStart w:id="95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94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5"/>
    <w:bookmarkStart w:id="97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6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7"/>
    <w:bookmarkStart w:id="98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8"/>
    <w:bookmarkStart w:id="100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9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88" Target="media/rId88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94" Target="https://doi.org/10.1007/s00210-025-04833-1" TargetMode="External" /><Relationship Type="http://schemas.openxmlformats.org/officeDocument/2006/relationships/hyperlink" Id="rId92" Target="https://doi.org/10.1080/2331205X.2021.1893422" TargetMode="External" /><Relationship Type="http://schemas.openxmlformats.org/officeDocument/2006/relationships/hyperlink" Id="rId96" Target="https://doi.org/10.1177/20552076241297056" TargetMode="External" /><Relationship Type="http://schemas.openxmlformats.org/officeDocument/2006/relationships/hyperlink" Id="rId74" Target="https://github.com/traversc/stringfish" TargetMode="External" /><Relationship Type="http://schemas.openxmlformats.org/officeDocument/2006/relationships/hyperlink" Id="rId85" Target="https://github.com/traversc/stringfish/issues/25" TargetMode="External" /><Relationship Type="http://schemas.openxmlformats.org/officeDocument/2006/relationships/hyperlink" Id="rId99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9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Relationship Type="http://schemas.openxmlformats.org/officeDocument/2006/relationships/hyperlink" Id="rId39" Target="https://www.socialstyrelsen.se/contentassets/73ddf4d21b7d41408b826caf96fa6dd7/2026-1-10005.pdf" TargetMode="External" /><Relationship Type="http://schemas.openxmlformats.org/officeDocument/2006/relationships/hyperlink" Id="rId26" Target="https://www.svt.se/nyheter/lokalt/vast/vardcentraler-fuskar-med-diagnoser-for-att-fa-hogre-ersatt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coding</dc:title>
  <dc:creator/>
  <cp:keywords/>
  <dcterms:created xsi:type="dcterms:W3CDTF">2026-03-16T09:09:04Z</dcterms:created>
  <dcterms:modified xsi:type="dcterms:W3CDTF">2026-03-16T09:09:04Z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