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2.1.6</w:t>
      </w:r>
      <w:r>
        <w:br/>
      </w:r>
      <w:r>
        <w:rPr>
          <w:rStyle w:val="VerbatimChar"/>
        </w:rPr>
        <w:t xml:space="preserve">✔ forcats   1.0.1     ✔ stringr   1.6.0</w:t>
      </w:r>
      <w:r>
        <w:br/>
      </w:r>
      <w:r>
        <w:rPr>
          <w:rStyle w:val="VerbatimChar"/>
        </w:rPr>
        <w:t xml:space="preserve">✔ ggplot2   4.0.1     ✔ tibble    3.3.1</w:t>
      </w:r>
      <w:r>
        <w:br/>
      </w:r>
      <w:r>
        <w:rPr>
          <w:rStyle w:val="VerbatimChar"/>
        </w:rPr>
        <w:t xml:space="preserve">✔ lubridate 1.9.4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2026-02-25T06:13:25Z</dcterms:created>
  <dcterms:modified xsi:type="dcterms:W3CDTF">2026-02-25T06:13:25Z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(Baker 2016), (Oliveira Andrade 2025), (Kavianpour et al. 2022), (Peng and Hicks 2021)</vt:lpwstr>
  </property>
  <property fmtid="{D5CDD505-2E9C-101B-9397-08002B2CF9AE}" pid="10" name="subtitle">
    <vt:lpwstr>{targets} and safe environments</vt:lpwstr>
  </property>
  <property fmtid="{D5CDD505-2E9C-101B-9397-08002B2CF9AE}" pid="11" name="toc-title">
    <vt:lpwstr>Table of contents</vt:lpwstr>
  </property>
</Properties>
</file>