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sourse for examination (seminair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seminair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explanaitions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w:t>
            </w:r>
            <w:r>
              <w:t xml:space="preserve"> </w:t>
            </w:r>
            <w:r>
              <w:t xml:space="preserve">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organisation,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organisational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w:t>
      </w:r>
      <w:r>
        <w:t xml:space="preserve"> </w:t>
      </w:r>
      <w:r>
        <w:rPr>
          <w:b/>
          <w:bCs/>
        </w:rPr>
        <w:t xml:space="preserve">unauthorised 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iwith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organisational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authorised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organisational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onwards</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recognises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harmonisation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2026-02-23T09:00:06Z</dcterms:created>
  <dcterms:modified xsi:type="dcterms:W3CDTF">2026-02-23T09:00:06Z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(Vukovic et al. 2022), (Nguyen 2022, ch. 4)</vt:lpwstr>
  </property>
  <property fmtid="{D5CDD505-2E9C-101B-9397-08002B2CF9AE}" pid="9" name="subtitle">
    <vt:lpwstr>GDPR, EHDS and DA</vt:lpwstr>
  </property>
  <property fmtid="{D5CDD505-2E9C-101B-9397-08002B2CF9AE}" pid="10" name="toc-title">
    <vt:lpwstr>Table of contents</vt:lpwstr>
  </property>
</Properties>
</file>