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A692" w14:textId="5A3356AF" w:rsidR="00626356" w:rsidRDefault="00626356" w:rsidP="00626356">
      <w:pPr>
        <w:jc w:val="both"/>
        <w:rPr>
          <w:b/>
          <w:bCs/>
        </w:rPr>
      </w:pPr>
      <w:r>
        <w:rPr>
          <w:b/>
          <w:bCs/>
        </w:rPr>
        <w:t>Data</w:t>
      </w:r>
    </w:p>
    <w:p w14:paraId="33FBD69E" w14:textId="77777777" w:rsidR="00626356" w:rsidRPr="00626356" w:rsidRDefault="00626356" w:rsidP="00626356">
      <w:pPr>
        <w:jc w:val="both"/>
        <w:rPr>
          <w:b/>
          <w:bCs/>
        </w:rPr>
      </w:pPr>
    </w:p>
    <w:p w14:paraId="350D5A17" w14:textId="4B536348" w:rsidR="000B005F" w:rsidRDefault="00626356" w:rsidP="00902510">
      <w:pPr>
        <w:jc w:val="both"/>
      </w:pPr>
      <w:r>
        <w:t xml:space="preserve">The </w:t>
      </w:r>
      <w:r w:rsidR="00D834F7">
        <w:t xml:space="preserve">data on weekly spending on tobacco products comes from the </w:t>
      </w:r>
      <w:r>
        <w:t>Smoking Toolkit Study (STS)</w:t>
      </w:r>
      <w:r w:rsidR="00CD5908">
        <w:t xml:space="preserve"> collected between April 2014 and February 2020. The spending figures are adjusted for inflation using the consumer price index (CPI) for tobacco products to December 2018 prices. </w:t>
      </w:r>
      <w:r w:rsidR="000F2CFE">
        <w:t xml:space="preserve">Figure 1 presents the distribution of expenditures in the data, </w:t>
      </w:r>
      <w:r>
        <w:t xml:space="preserve">providing a </w:t>
      </w:r>
      <w:r w:rsidRPr="000F2CFE">
        <w:t xml:space="preserve">self-reported </w:t>
      </w:r>
      <w:r w:rsidR="000F2CFE" w:rsidRPr="000F2CFE">
        <w:t>median spend</w:t>
      </w:r>
      <w:r w:rsidRPr="000F2CFE">
        <w:t xml:space="preserve"> of £</w:t>
      </w:r>
      <w:r w:rsidR="00391EBD" w:rsidRPr="000F2CFE">
        <w:t>19.51</w:t>
      </w:r>
      <w:r w:rsidRPr="000F2CFE">
        <w:t xml:space="preserve"> </w:t>
      </w:r>
      <w:r w:rsidR="000F2CFE" w:rsidRPr="000F2CFE">
        <w:t xml:space="preserve">and mean spend of £23.81 </w:t>
      </w:r>
      <w:r w:rsidRPr="000F2CFE">
        <w:t>per smoker per week</w:t>
      </w:r>
      <w:r w:rsidRPr="00626356">
        <w:rPr>
          <w:color w:val="FF0000"/>
        </w:rPr>
        <w:t xml:space="preserve"> </w:t>
      </w:r>
      <w:r w:rsidR="00CF54F1" w:rsidRPr="00CF54F1">
        <w:t>for England as a whole</w:t>
      </w:r>
      <w:r>
        <w:t xml:space="preserve">. </w:t>
      </w:r>
    </w:p>
    <w:p w14:paraId="5914ACFA" w14:textId="71404690" w:rsidR="00D1150B" w:rsidRDefault="00D1150B" w:rsidP="00902510">
      <w:pPr>
        <w:jc w:val="both"/>
        <w:rPr>
          <w:b/>
          <w:bCs/>
        </w:rPr>
      </w:pPr>
      <w:r>
        <w:rPr>
          <w:b/>
          <w:bCs/>
        </w:rPr>
        <w:t>[Income data]</w:t>
      </w:r>
    </w:p>
    <w:p w14:paraId="49DFE405" w14:textId="0F17F358" w:rsidR="00D1150B" w:rsidRPr="00D1150B" w:rsidRDefault="00D1150B" w:rsidP="00902510">
      <w:pPr>
        <w:jc w:val="both"/>
        <w:rPr>
          <w:b/>
          <w:bCs/>
        </w:rPr>
      </w:pPr>
      <w:r>
        <w:rPr>
          <w:b/>
          <w:bCs/>
        </w:rPr>
        <w:t xml:space="preserve">[Smoking prevalence/number of smokers] </w:t>
      </w:r>
    </w:p>
    <w:p w14:paraId="5248D00E" w14:textId="10B630E7" w:rsidR="00C45060" w:rsidRDefault="00C45060" w:rsidP="00902510">
      <w:pPr>
        <w:jc w:val="both"/>
      </w:pPr>
    </w:p>
    <w:p w14:paraId="755A687E" w14:textId="1D52E161" w:rsidR="00D1150B" w:rsidRDefault="00D1150B" w:rsidP="00D1150B">
      <w:pPr>
        <w:jc w:val="both"/>
        <w:rPr>
          <w:b/>
          <w:bCs/>
        </w:rPr>
      </w:pPr>
      <w:r>
        <w:rPr>
          <w:b/>
          <w:bCs/>
        </w:rPr>
        <w:t>Methods</w:t>
      </w:r>
    </w:p>
    <w:p w14:paraId="387ED912" w14:textId="77777777" w:rsidR="00D1150B" w:rsidRDefault="00D1150B" w:rsidP="00902510">
      <w:pPr>
        <w:jc w:val="both"/>
      </w:pPr>
    </w:p>
    <w:p w14:paraId="27C62640" w14:textId="30BB1CC9" w:rsidR="00902510" w:rsidRDefault="00902510" w:rsidP="00902510">
      <w:pPr>
        <w:jc w:val="both"/>
      </w:pPr>
      <w:r>
        <w:t xml:space="preserve">The estimated total </w:t>
      </w:r>
      <w:r w:rsidR="00074B4E">
        <w:t xml:space="preserve">annual </w:t>
      </w:r>
      <w:r>
        <w:t xml:space="preserve">expenditure based on </w:t>
      </w:r>
      <w:r w:rsidR="00074B4E">
        <w:t>the</w:t>
      </w:r>
      <w:r>
        <w:t xml:space="preserve"> </w:t>
      </w:r>
      <w:r w:rsidR="00074B4E">
        <w:t>mean</w:t>
      </w:r>
      <w:r>
        <w:t xml:space="preserve"> self</w:t>
      </w:r>
      <w:r w:rsidR="00626356">
        <w:t>-report</w:t>
      </w:r>
      <w:r w:rsidR="00074B4E">
        <w:t>ed weekly expenditure on tobacco, and an estimated 6.131 million smokers in England,</w:t>
      </w:r>
      <w:r w:rsidR="00626356">
        <w:t xml:space="preserve"> is </w:t>
      </w:r>
      <w:r w:rsidR="00626356" w:rsidRPr="003610E5">
        <w:t>£7.</w:t>
      </w:r>
      <w:r w:rsidR="003610E5" w:rsidRPr="003610E5">
        <w:t>59</w:t>
      </w:r>
      <w:r w:rsidR="00626356" w:rsidRPr="003610E5">
        <w:t xml:space="preserve"> billion per year</w:t>
      </w:r>
      <w:r w:rsidR="00CF54F1" w:rsidRPr="00CF54F1">
        <w:t>.</w:t>
      </w:r>
      <w:r w:rsidR="00626356" w:rsidRPr="00902510">
        <w:rPr>
          <w:color w:val="FF0000"/>
        </w:rPr>
        <w:t xml:space="preserve"> </w:t>
      </w:r>
      <w:r w:rsidR="00CF54F1">
        <w:t>This figure</w:t>
      </w:r>
      <w:r w:rsidR="00626356">
        <w:t xml:space="preserve"> is below the total collected by the government in tobacco duty alone</w:t>
      </w:r>
      <w:r>
        <w:t xml:space="preserve">, receipts of which totalled </w:t>
      </w:r>
      <w:r w:rsidR="00626356" w:rsidRPr="000B005F">
        <w:t>£</w:t>
      </w:r>
      <w:r w:rsidR="000B005F" w:rsidRPr="000B005F">
        <w:t>8.84</w:t>
      </w:r>
      <w:r w:rsidR="00626356" w:rsidRPr="000B005F">
        <w:t xml:space="preserve"> billion in </w:t>
      </w:r>
      <w:r w:rsidR="000B005F" w:rsidRPr="000B005F">
        <w:t xml:space="preserve">the calendar year </w:t>
      </w:r>
      <w:r w:rsidR="00626356" w:rsidRPr="000B005F">
        <w:t>2018</w:t>
      </w:r>
      <w:r w:rsidR="000B005F" w:rsidRPr="000B005F">
        <w:t xml:space="preserve"> and £8.75 billion of which came from cigarettes and hand-rolling tobacco</w:t>
      </w:r>
      <w:r w:rsidR="001E4A73">
        <w:t xml:space="preserve"> (HRT)</w:t>
      </w:r>
      <w:r w:rsidR="00626356">
        <w:t>.</w:t>
      </w:r>
      <w:r>
        <w:t xml:space="preserve"> </w:t>
      </w:r>
      <w:r w:rsidR="00CF54F1">
        <w:t>To</w:t>
      </w:r>
      <w:r>
        <w:t xml:space="preserve"> estimate the duty receipts specifically from spending by English smokers, we adjust the total duty receipts for the UK by the percentage of UK smokers who are English </w:t>
      </w:r>
      <w:r w:rsidR="00074B4E">
        <w:t>(</w:t>
      </w:r>
      <w:r>
        <w:t xml:space="preserve">calculated from the Annual Population Survey and estimated at </w:t>
      </w:r>
      <w:r w:rsidR="00CF54F1">
        <w:t>approximately</w:t>
      </w:r>
      <w:r>
        <w:t xml:space="preserve"> 8</w:t>
      </w:r>
      <w:r w:rsidR="005057C2">
        <w:t>2.25</w:t>
      </w:r>
      <w:r>
        <w:t>%</w:t>
      </w:r>
      <w:r w:rsidR="00074B4E">
        <w:t>)</w:t>
      </w:r>
      <w:r>
        <w:t xml:space="preserve">. </w:t>
      </w:r>
      <w:r w:rsidR="00626356">
        <w:t xml:space="preserve"> </w:t>
      </w:r>
      <w:r w:rsidR="00AB5A21">
        <w:t xml:space="preserve">When </w:t>
      </w:r>
      <w:r w:rsidR="00D1150B">
        <w:t>making the England-only adjustment</w:t>
      </w:r>
      <w:r w:rsidR="00AB5A21">
        <w:t>, total tobacco duty receipts from England are still estimated at £7.64 billion.</w:t>
      </w:r>
      <w:r w:rsidR="003610E5">
        <w:t xml:space="preserve"> This suggests the mean weekly expenditure figure of £23.81 </w:t>
      </w:r>
      <w:r w:rsidR="00C45060">
        <w:t xml:space="preserve">is an under-estimate of the true mean due to under-reporting in the data. In order to produce mean weekly spending estimates from the toolkit data which are consistent with the amount implied by HMRC duty receipts, we therefore estimate an upshift factor to apply to the spending data. </w:t>
      </w:r>
    </w:p>
    <w:p w14:paraId="16273C01" w14:textId="7A35C2FC" w:rsidR="00D1150B" w:rsidRDefault="00D1150B" w:rsidP="00902510">
      <w:pPr>
        <w:jc w:val="both"/>
      </w:pPr>
    </w:p>
    <w:p w14:paraId="7B862877" w14:textId="7DDEF0A2" w:rsidR="00D1150B" w:rsidRDefault="00D1150B" w:rsidP="00902510">
      <w:pPr>
        <w:jc w:val="both"/>
      </w:pPr>
      <w:r>
        <w:t xml:space="preserve">To calculate the required upshift factor we </w:t>
      </w:r>
      <w:r w:rsidR="003E7215">
        <w:t>estimate the total annual expenditure implied by the total duties received by HMRC</w:t>
      </w:r>
      <w:r w:rsidR="00FB6122">
        <w:t xml:space="preserve"> and take the ratio of this figure to the estimate based on the raw toolkit data. We </w:t>
      </w:r>
      <w:r w:rsidR="0042146A">
        <w:t>do this separately for factory-made cigarettes and hand-rolling tobacco (HRT). The approach for each product is to take the price (per pack of 20 cigarettes or per 100g of HRT) and calculate the total duty paid</w:t>
      </w:r>
      <w:r w:rsidR="0035635D">
        <w:t xml:space="preserve"> on the respective quantity</w:t>
      </w:r>
      <w:r w:rsidR="0055246C">
        <w:t xml:space="preserve"> – based on duty rates </w:t>
      </w:r>
      <w:r w:rsidR="00596DBB">
        <w:t xml:space="preserve">as </w:t>
      </w:r>
      <w:proofErr w:type="gramStart"/>
      <w:r w:rsidR="0055246C">
        <w:t>at</w:t>
      </w:r>
      <w:proofErr w:type="gramEnd"/>
      <w:r w:rsidR="0055246C">
        <w:t xml:space="preserve"> December 2018</w:t>
      </w:r>
      <w:r w:rsidR="0035635D">
        <w:t xml:space="preserve">. The percentage of the market price which is paid as duty is calculated from these figures and applied to the duty receipts data to estimate total expenditure on (legally supplied) tobacco. Price data for cigarettes is obtained from the ONS and the December 2018 price of £10.63 for a pack of 20 cigarettes is used in the calculation. For HRT, </w:t>
      </w:r>
      <w:r w:rsidR="0025695B">
        <w:t xml:space="preserve">price is taken as an average of online supermarket prices in December 2020 and deflated to December 2018 prices using the </w:t>
      </w:r>
      <w:r w:rsidR="0055246C">
        <w:t>All-Tobacco</w:t>
      </w:r>
      <w:r w:rsidR="0025695B">
        <w:t xml:space="preserve"> component of the consumer prices index (CPI). </w:t>
      </w:r>
    </w:p>
    <w:p w14:paraId="6CC27CD2" w14:textId="0EAB4EDC" w:rsidR="00E62A82" w:rsidRDefault="00E62A82" w:rsidP="00902510">
      <w:pPr>
        <w:jc w:val="both"/>
      </w:pPr>
    </w:p>
    <w:p w14:paraId="4957C3CC" w14:textId="7C62C18A" w:rsidR="0021718E" w:rsidRDefault="00E62A82" w:rsidP="0021718E">
      <w:pPr>
        <w:jc w:val="both"/>
      </w:pPr>
      <w:r>
        <w:t xml:space="preserve">As </w:t>
      </w:r>
      <w:r w:rsidR="00CF54F1">
        <w:t>some consumption of tobacco products is from illicit sources, we also estimate expenditure on illicit tobacco</w:t>
      </w:r>
      <w:r w:rsidR="005E48FA">
        <w:t xml:space="preserve">. HMRC estimate the “tax gap” which arises from the market for illicit tobacco. Using estimates from the 2016/17 tax year of the market shares of illicit and legal tobacco sources of total consumption by product, expenditures on illicit sources of consumption are calculated as the legal expenditure multiplied by the illicit market share as a proportion of the legal market share.  </w:t>
      </w:r>
      <w:r w:rsidR="007B6E82">
        <w:t xml:space="preserve">For factory-made cigarettes this ratio is 0.15/0.81 = 0.185 and the equivalent for hand-rolled tobacco is 0.28/0.67 = 0.418. Note the remaining </w:t>
      </w:r>
      <w:r w:rsidR="007B6E82">
        <w:lastRenderedPageBreak/>
        <w:t xml:space="preserve">market share in each case relates to cross-border sourced </w:t>
      </w:r>
      <w:r w:rsidR="00631520">
        <w:t>tobacco and</w:t>
      </w:r>
      <w:r w:rsidR="007B6E82">
        <w:t xml:space="preserve"> is excluded from </w:t>
      </w:r>
      <w:r w:rsidR="004645F6">
        <w:t>the</w:t>
      </w:r>
      <w:r w:rsidR="007B6E82">
        <w:t xml:space="preserve"> calculations</w:t>
      </w:r>
      <w:r w:rsidR="004645F6">
        <w:t xml:space="preserve"> of total spending</w:t>
      </w:r>
      <w:r w:rsidR="007B6E82">
        <w:t>.</w:t>
      </w:r>
      <w:r w:rsidR="00AE0CD3">
        <w:rPr>
          <w:b/>
          <w:bCs/>
        </w:rPr>
        <w:t xml:space="preserve"> </w:t>
      </w:r>
      <w:r w:rsidR="005E48FA">
        <w:t>As the market shares are shares in consumption not expenditure, and prices per cigarette are lower for illicit sources, this figure is multiplied by the average illicit price as a proportion of the average legal price</w:t>
      </w:r>
      <w:r w:rsidR="004645F6">
        <w:t>. The average cost of illicit sources of tobacco are</w:t>
      </w:r>
      <w:r w:rsidR="005E48FA">
        <w:t xml:space="preserve"> approximately </w:t>
      </w:r>
      <w:r w:rsidR="004645F6">
        <w:t xml:space="preserve">half of the average legal price </w:t>
      </w:r>
      <w:r w:rsidR="005E48FA">
        <w:t>for both factory-made cigarettes and hand-rolling tobacco</w:t>
      </w:r>
      <w:r w:rsidR="00AE0CD3" w:rsidRPr="00AE0CD3">
        <w:t xml:space="preserve"> </w:t>
      </w:r>
      <w:sdt>
        <w:sdtPr>
          <w:id w:val="-153526218"/>
          <w:citation/>
        </w:sdtPr>
        <w:sdtContent>
          <w:r w:rsidR="00AE0CD3">
            <w:fldChar w:fldCharType="begin"/>
          </w:r>
          <w:r w:rsidR="00AE0CD3">
            <w:rPr>
              <w:lang w:val="en-US"/>
            </w:rPr>
            <w:instrText xml:space="preserve"> CITATION ASH21 \l 1033 </w:instrText>
          </w:r>
          <w:r w:rsidR="00AE0CD3">
            <w:fldChar w:fldCharType="separate"/>
          </w:r>
          <w:r w:rsidR="00AE0CD3">
            <w:rPr>
              <w:noProof/>
              <w:lang w:val="en-US"/>
            </w:rPr>
            <w:t xml:space="preserve"> (ASH Scotland, 2021)</w:t>
          </w:r>
          <w:r w:rsidR="00AE0CD3">
            <w:fldChar w:fldCharType="end"/>
          </w:r>
        </w:sdtContent>
      </w:sdt>
      <w:r w:rsidR="005E48FA">
        <w:t xml:space="preserve">. </w:t>
      </w:r>
    </w:p>
    <w:p w14:paraId="73A7CC75" w14:textId="77777777" w:rsidR="00295FC1" w:rsidRPr="00AE0CD3" w:rsidRDefault="00295FC1" w:rsidP="0021718E">
      <w:pPr>
        <w:jc w:val="both"/>
        <w:rPr>
          <w:b/>
          <w:bCs/>
        </w:rPr>
      </w:pPr>
    </w:p>
    <w:p w14:paraId="7C56920D" w14:textId="77777777" w:rsidR="00CF54F1" w:rsidRDefault="00CF54F1" w:rsidP="00902510">
      <w:pPr>
        <w:jc w:val="both"/>
      </w:pPr>
    </w:p>
    <w:p w14:paraId="6C0F3EB6" w14:textId="53C66818" w:rsidR="00CF54F1" w:rsidRPr="00CF54F1" w:rsidRDefault="00CF54F1" w:rsidP="00902510">
      <w:pPr>
        <w:jc w:val="both"/>
      </w:pPr>
      <m:oMathPara>
        <m:oMath>
          <m:r>
            <w:rPr>
              <w:rFonts w:ascii="Cambria Math" w:hAnsi="Cambria Math"/>
            </w:rPr>
            <m:t>Illicit Exp=Legal Exp*</m:t>
          </m:r>
          <m:d>
            <m:dPr>
              <m:ctrlPr>
                <w:rPr>
                  <w:rFonts w:ascii="Cambria Math" w:hAnsi="Cambria Math"/>
                  <w:i/>
                </w:rPr>
              </m:ctrlPr>
            </m:dPr>
            <m:e>
              <m:f>
                <m:fPr>
                  <m:ctrlPr>
                    <w:rPr>
                      <w:rFonts w:ascii="Cambria Math" w:hAnsi="Cambria Math"/>
                      <w:i/>
                    </w:rPr>
                  </m:ctrlPr>
                </m:fPr>
                <m:num>
                  <m:r>
                    <w:rPr>
                      <w:rFonts w:ascii="Cambria Math" w:hAnsi="Cambria Math"/>
                    </w:rPr>
                    <m:t xml:space="preserve">Market Share </m:t>
                  </m:r>
                  <m:d>
                    <m:dPr>
                      <m:ctrlPr>
                        <w:rPr>
                          <w:rFonts w:ascii="Cambria Math" w:hAnsi="Cambria Math"/>
                          <w:i/>
                        </w:rPr>
                      </m:ctrlPr>
                    </m:dPr>
                    <m:e>
                      <m:r>
                        <w:rPr>
                          <w:rFonts w:ascii="Cambria Math" w:hAnsi="Cambria Math"/>
                        </w:rPr>
                        <m:t>Illicit</m:t>
                      </m:r>
                    </m:e>
                  </m:d>
                </m:num>
                <m:den>
                  <m:r>
                    <w:rPr>
                      <w:rFonts w:ascii="Cambria Math" w:hAnsi="Cambria Math"/>
                    </w:rPr>
                    <m:t xml:space="preserve">Market Share </m:t>
                  </m:r>
                  <m:d>
                    <m:dPr>
                      <m:ctrlPr>
                        <w:rPr>
                          <w:rFonts w:ascii="Cambria Math" w:hAnsi="Cambria Math"/>
                          <w:i/>
                        </w:rPr>
                      </m:ctrlPr>
                    </m:dPr>
                    <m:e>
                      <m:r>
                        <w:rPr>
                          <w:rFonts w:ascii="Cambria Math" w:hAnsi="Cambria Math"/>
                        </w:rPr>
                        <m:t>Legal</m:t>
                      </m:r>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Price (Illicit)</m:t>
                  </m:r>
                </m:num>
                <m:den>
                  <m:r>
                    <w:rPr>
                      <w:rFonts w:ascii="Cambria Math" w:hAnsi="Cambria Math"/>
                    </w:rPr>
                    <m:t>Price (Legal)</m:t>
                  </m:r>
                </m:den>
              </m:f>
            </m:e>
          </m:d>
        </m:oMath>
      </m:oMathPara>
    </w:p>
    <w:p w14:paraId="254EAAA7" w14:textId="77777777" w:rsidR="00902510" w:rsidRDefault="00902510" w:rsidP="00902510">
      <w:pPr>
        <w:jc w:val="both"/>
      </w:pPr>
    </w:p>
    <w:p w14:paraId="0D2C92BE" w14:textId="77777777" w:rsidR="00295FC1" w:rsidRDefault="00295FC1" w:rsidP="00902510">
      <w:pPr>
        <w:jc w:val="both"/>
      </w:pPr>
    </w:p>
    <w:p w14:paraId="09C5BAF5" w14:textId="42B63125" w:rsidR="00626356" w:rsidRDefault="00626356" w:rsidP="00902510">
      <w:pPr>
        <w:jc w:val="both"/>
      </w:pPr>
      <w:r>
        <w:t xml:space="preserve">Based on </w:t>
      </w:r>
      <w:r w:rsidR="004B2200">
        <w:t>the above calculations, we</w:t>
      </w:r>
      <w:r>
        <w:t xml:space="preserve"> </w:t>
      </w:r>
      <w:r w:rsidR="004B2200">
        <w:t>multiply</w:t>
      </w:r>
      <w:r>
        <w:t xml:space="preserve"> the survey responses by a factor of</w:t>
      </w:r>
      <w:r w:rsidR="00074B4E">
        <w:t xml:space="preserve"> around</w:t>
      </w:r>
      <w:r>
        <w:t xml:space="preserve"> </w:t>
      </w:r>
      <w:r w:rsidRPr="00074B4E">
        <w:t>1.</w:t>
      </w:r>
      <w:r w:rsidR="00954207" w:rsidRPr="00074B4E">
        <w:t>9</w:t>
      </w:r>
      <w:r w:rsidR="00AE0CD3">
        <w:t>3</w:t>
      </w:r>
      <w:r w:rsidRPr="00074B4E">
        <w:t xml:space="preserve"> </w:t>
      </w:r>
      <w:r>
        <w:t>to account for underreporting of spend</w:t>
      </w:r>
      <w:r w:rsidR="0093407E">
        <w:t>. The detailed breakdown of the upshift factor calculation</w:t>
      </w:r>
      <w:r w:rsidR="00954207">
        <w:t xml:space="preserve"> </w:t>
      </w:r>
      <w:r w:rsidR="00295FC1">
        <w:t xml:space="preserve">is given in Table 1. </w:t>
      </w:r>
    </w:p>
    <w:p w14:paraId="3DFE10C1" w14:textId="77777777" w:rsidR="00626356" w:rsidRDefault="00626356" w:rsidP="00626356">
      <w:pPr>
        <w:jc w:val="both"/>
      </w:pPr>
    </w:p>
    <w:p w14:paraId="41716FA2" w14:textId="0F6904F7" w:rsidR="00FC6A36" w:rsidRPr="00CF54F1" w:rsidRDefault="00FC6A36">
      <w:pPr>
        <w:rPr>
          <w:b/>
          <w:bCs/>
        </w:rPr>
      </w:pPr>
    </w:p>
    <w:p w14:paraId="4AF041C2" w14:textId="7E179AFF" w:rsidR="00626356" w:rsidRDefault="00626356"/>
    <w:p w14:paraId="6808C8D1" w14:textId="1FFB8B23" w:rsidR="00626356" w:rsidRPr="00626356" w:rsidRDefault="00626356" w:rsidP="00626356">
      <w:pPr>
        <w:jc w:val="both"/>
        <w:rPr>
          <w:b/>
          <w:bCs/>
        </w:rPr>
      </w:pPr>
      <w:r>
        <w:rPr>
          <w:b/>
          <w:bCs/>
        </w:rPr>
        <w:t xml:space="preserve">Table 2 about here - calculation of mean/median weekly spending by subgroups. </w:t>
      </w:r>
    </w:p>
    <w:p w14:paraId="6AA21B93" w14:textId="04DB4A8F" w:rsidR="00626356" w:rsidRDefault="00626356"/>
    <w:p w14:paraId="7118F6B6" w14:textId="3A094FA1" w:rsidR="00626356" w:rsidRDefault="00626356" w:rsidP="00626356">
      <w:pPr>
        <w:jc w:val="both"/>
      </w:pPr>
      <w:r>
        <w:t>The impact on the most deprived becomes even more stark when spend on smoking is expressed as a percentage of income. Applying estimated spend to smoking populations calculated using ONS mid-year population estimates and smoking prevalence from the Annual Population Survey, an estimate can be made for different areas in England of the average weekly spend per smoker, the total spend</w:t>
      </w:r>
      <w:r w:rsidR="00DA04E4">
        <w:t>ing</w:t>
      </w:r>
      <w:r>
        <w:t xml:space="preserve"> on smoking in the locality and the percentage of a smoker’s net disposable income (after tax and housing costs) spent on tobacco products. Table 3 shows that the estimated weekly spend by region varies from </w:t>
      </w:r>
      <w:r w:rsidRPr="00626356">
        <w:rPr>
          <w:b/>
          <w:bCs/>
          <w:color w:val="FF0000"/>
        </w:rPr>
        <w:t xml:space="preserve">£29.38 </w:t>
      </w:r>
      <w:r>
        <w:t xml:space="preserve">in the </w:t>
      </w:r>
      <w:r w:rsidR="003610E5">
        <w:t>Southwest</w:t>
      </w:r>
      <w:r>
        <w:t xml:space="preserve"> to </w:t>
      </w:r>
      <w:r w:rsidRPr="00626356">
        <w:rPr>
          <w:b/>
          <w:bCs/>
          <w:color w:val="FF0000"/>
        </w:rPr>
        <w:t>£37.78</w:t>
      </w:r>
      <w:r w:rsidRPr="00626356">
        <w:rPr>
          <w:color w:val="FF0000"/>
        </w:rPr>
        <w:t xml:space="preserve"> </w:t>
      </w:r>
      <w:r>
        <w:t xml:space="preserve">in the </w:t>
      </w:r>
      <w:r w:rsidR="003610E5">
        <w:t>Northeast</w:t>
      </w:r>
      <w:r>
        <w:t xml:space="preserve">, which is </w:t>
      </w:r>
      <w:r w:rsidRPr="00626356">
        <w:rPr>
          <w:b/>
          <w:bCs/>
          <w:color w:val="FF0000"/>
        </w:rPr>
        <w:t>5.67%</w:t>
      </w:r>
      <w:r w:rsidRPr="00626356">
        <w:rPr>
          <w:color w:val="FF0000"/>
        </w:rPr>
        <w:t xml:space="preserve"> </w:t>
      </w:r>
      <w:r>
        <w:t xml:space="preserve">and </w:t>
      </w:r>
      <w:r w:rsidRPr="00626356">
        <w:rPr>
          <w:b/>
          <w:bCs/>
          <w:color w:val="FF0000"/>
        </w:rPr>
        <w:t>7.48%</w:t>
      </w:r>
      <w:r w:rsidRPr="00626356">
        <w:rPr>
          <w:color w:val="FF0000"/>
        </w:rPr>
        <w:t xml:space="preserve"> </w:t>
      </w:r>
      <w:r>
        <w:t xml:space="preserve">of the average income in these areas respectively. London has the lowest percentage of income spent on tobacco at </w:t>
      </w:r>
      <w:r w:rsidRPr="00626356">
        <w:rPr>
          <w:b/>
          <w:bCs/>
          <w:color w:val="FF0000"/>
        </w:rPr>
        <w:t>4.60%.</w:t>
      </w:r>
    </w:p>
    <w:p w14:paraId="6BC7F543" w14:textId="5A73BE06" w:rsidR="00626356" w:rsidRDefault="00626356"/>
    <w:p w14:paraId="254DD648" w14:textId="131E0A85" w:rsidR="0012122C" w:rsidRPr="0012122C" w:rsidRDefault="0012122C">
      <w:pPr>
        <w:rPr>
          <w:b/>
          <w:bCs/>
        </w:rPr>
      </w:pPr>
      <w:r w:rsidRPr="0012122C">
        <w:rPr>
          <w:b/>
          <w:bCs/>
        </w:rPr>
        <w:t xml:space="preserve">Table 3 about here - table showing weekly spending, income, and percent of income </w:t>
      </w:r>
      <w:r>
        <w:rPr>
          <w:b/>
          <w:bCs/>
        </w:rPr>
        <w:t>by GOR</w:t>
      </w:r>
    </w:p>
    <w:p w14:paraId="1C234FCE" w14:textId="11B94F35" w:rsidR="0012122C" w:rsidRDefault="0012122C"/>
    <w:p w14:paraId="2B76A241" w14:textId="013B70EF" w:rsidR="0012122C" w:rsidRDefault="0012122C" w:rsidP="0012122C">
      <w:pPr>
        <w:jc w:val="both"/>
      </w:pPr>
      <w:r>
        <w:t xml:space="preserve">As we look at smaller geographical areas such as local authorities (LAs) there is larger variation in both average </w:t>
      </w:r>
      <w:proofErr w:type="gramStart"/>
      <w:r>
        <w:t>weekly</w:t>
      </w:r>
      <w:proofErr w:type="gramEnd"/>
      <w:r>
        <w:t xml:space="preserve"> spend and the percentage of income spent on tobacco products. </w:t>
      </w:r>
    </w:p>
    <w:p w14:paraId="0D204EAB" w14:textId="77777777" w:rsidR="0012122C" w:rsidRDefault="0012122C"/>
    <w:p w14:paraId="51E96E9A" w14:textId="740EB27A" w:rsidR="00626356" w:rsidRDefault="00626356">
      <w:pPr>
        <w:rPr>
          <w:b/>
          <w:bCs/>
        </w:rPr>
      </w:pPr>
      <w:r>
        <w:rPr>
          <w:b/>
          <w:bCs/>
        </w:rPr>
        <w:t xml:space="preserve">Figure 1 about here - scatterplot of percentage of income vs income </w:t>
      </w:r>
    </w:p>
    <w:p w14:paraId="72E1DA9F" w14:textId="5D8CF0AF" w:rsidR="0012122C" w:rsidRDefault="0012122C">
      <w:pPr>
        <w:rPr>
          <w:b/>
          <w:bCs/>
        </w:rPr>
      </w:pPr>
    </w:p>
    <w:p w14:paraId="02FA4B36" w14:textId="33280797" w:rsidR="0012122C" w:rsidRPr="0012122C" w:rsidRDefault="0012122C" w:rsidP="0012122C">
      <w:pPr>
        <w:pStyle w:val="Caption"/>
        <w:keepNext/>
        <w:rPr>
          <w:rFonts w:asciiTheme="minorHAnsi" w:hAnsiTheme="minorHAnsi" w:cstheme="minorHAnsi"/>
          <w:sz w:val="24"/>
        </w:rPr>
      </w:pPr>
      <w:r w:rsidRPr="00A63FA6">
        <w:rPr>
          <w:rFonts w:asciiTheme="minorHAnsi" w:hAnsiTheme="minorHAnsi" w:cstheme="minorHAnsi"/>
          <w:sz w:val="24"/>
        </w:rPr>
        <w:t xml:space="preserve">Table </w:t>
      </w:r>
      <w:r>
        <w:rPr>
          <w:rFonts w:asciiTheme="minorHAnsi" w:hAnsiTheme="minorHAnsi" w:cstheme="minorHAnsi"/>
          <w:sz w:val="24"/>
        </w:rPr>
        <w:t>4</w:t>
      </w:r>
      <w:r w:rsidRPr="00A63FA6">
        <w:rPr>
          <w:rFonts w:asciiTheme="minorHAnsi" w:hAnsiTheme="minorHAnsi" w:cstheme="minorHAnsi"/>
          <w:sz w:val="24"/>
        </w:rPr>
        <w:t>. Expenditure on smoking in the local authorities with the highest tobacco expenditure as a proportion of income</w:t>
      </w:r>
    </w:p>
    <w:p w14:paraId="491A08C3" w14:textId="77777777" w:rsidR="0012122C" w:rsidRDefault="0012122C" w:rsidP="0012122C">
      <w:pPr>
        <w:jc w:val="both"/>
      </w:pPr>
      <w:r>
        <w:t xml:space="preserve">Table 4 summarises tobacco expenditure in the LAs with the highest expenditure on tobacco as a proportion of income. We estimate that the LAs where smokers spend the highest proportion of their income on smoking are </w:t>
      </w:r>
      <w:r w:rsidRPr="00B0270B">
        <w:rPr>
          <w:b/>
          <w:bCs/>
          <w:color w:val="FF0000"/>
        </w:rPr>
        <w:t xml:space="preserve">Halton, Bolton, Oldham, Redcar &amp; Cleveland, Salford, Wolverhampton, Middlesbrough, Stockport, Kingston upon Hull and Tameside. The LAs where the average smoker spends the lowest percentage of their household income on </w:t>
      </w:r>
      <w:r w:rsidRPr="00B0270B">
        <w:rPr>
          <w:b/>
          <w:bCs/>
          <w:color w:val="FF0000"/>
        </w:rPr>
        <w:lastRenderedPageBreak/>
        <w:t>tobacco products are Kensington &amp; Chelsea, Wandsworth, Westminster, Kingston upon Thames and Hammersmith &amp; Fulham.</w:t>
      </w:r>
      <w:r w:rsidRPr="00B0270B">
        <w:rPr>
          <w:color w:val="FF0000"/>
        </w:rPr>
        <w:t xml:space="preserve"> </w:t>
      </w:r>
    </w:p>
    <w:p w14:paraId="1AC9C1BC" w14:textId="295063D6" w:rsidR="0012122C" w:rsidRDefault="0012122C">
      <w:pPr>
        <w:rPr>
          <w:b/>
          <w:bCs/>
        </w:rPr>
      </w:pPr>
    </w:p>
    <w:p w14:paraId="480D4805" w14:textId="77777777" w:rsidR="0012122C" w:rsidRDefault="0012122C" w:rsidP="00B0270B">
      <w:pPr>
        <w:jc w:val="both"/>
      </w:pPr>
      <w:r>
        <w:t xml:space="preserve">In Halton the average smoker is estimated to spend almost 10% of their income on tobacco products, almost four times as much as in Kensington &amp; Chelsea. This not only represents a heavy burden on the household budget, but because almost all the money spent flows directly out of the local economy, it places an additional burden on the community. By applying the average cost in each local authority by their estimated smoking population </w:t>
      </w:r>
      <w:r>
        <w:fldChar w:fldCharType="begin"/>
      </w:r>
      <w:r>
        <w:instrText xml:space="preserve"> ADDIN EN.CITE &lt;EndNote&gt;&lt;Cite&gt;&lt;RecNum&gt;175&lt;/RecNum&gt;&lt;DisplayText&gt;(8)&lt;/DisplayText&gt;&lt;record&gt;&lt;rec-number&gt;175&lt;/rec-number&gt;&lt;foreign-keys&gt;&lt;key app="EN" db-id="vwsesxs9qxf9dkep2wevp2fmptx59rrev90a" timestamp="1553788453"&gt;175&lt;/key&gt;&lt;/foreign-keys&gt;&lt;ref-type name="Report"&gt;27&lt;/ref-type&gt;&lt;contributors&gt;&lt;secondary-authors&gt;&lt;author&gt;Services, U. S. Department of Health and Human&lt;/author&gt;&lt;/secondary-authors&gt;&lt;/contributors&gt;&lt;titles&gt;&lt;title&gt;The Health Benefits of Smoking Cessation: A report of the surgeon general. 1990. Available at: http://profiles.nlm.nih.gov/ps/retrieve/ResourceMetadata/NNBBCT (Accessed 15 July 2011). (Archived by WebCite® http://www.webcitation.org/60CDEkSI2)&lt;/title&gt;&lt;short-title&gt;The Health Benefits of Smoking Cessation: A report of the surgeon general&lt;/short-title&gt;&lt;/titles&gt;&lt;dates&gt;&lt;/dates&gt;&lt;urls&gt;&lt;/urls&gt;&lt;/record&gt;&lt;/Cite&gt;&lt;/EndNote&gt;</w:instrText>
      </w:r>
      <w:r>
        <w:fldChar w:fldCharType="separate"/>
      </w:r>
      <w:r>
        <w:rPr>
          <w:noProof/>
        </w:rPr>
        <w:t>(8)</w:t>
      </w:r>
      <w:r>
        <w:fldChar w:fldCharType="end"/>
      </w:r>
      <w:r>
        <w:t>, we estimate that £47,198,000 is spent on tobacco products in Halton each year and that the dividend to the local economy of making smoking obsolete would be £43,894,000 each year. In Bolton, Salford, Stockport and Kingston upon Hull the smokefree dividend would be more than £75 million per year.</w:t>
      </w:r>
    </w:p>
    <w:p w14:paraId="4090D0DE" w14:textId="72A75379" w:rsidR="0012122C" w:rsidRDefault="0012122C" w:rsidP="0012122C"/>
    <w:p w14:paraId="183A475D" w14:textId="54C77C14" w:rsidR="0012122C" w:rsidRPr="0012122C" w:rsidRDefault="0012122C" w:rsidP="0012122C">
      <w:pPr>
        <w:rPr>
          <w:b/>
          <w:bCs/>
        </w:rPr>
      </w:pPr>
      <w:r>
        <w:rPr>
          <w:b/>
          <w:bCs/>
        </w:rPr>
        <w:t>Discussion</w:t>
      </w:r>
    </w:p>
    <w:p w14:paraId="55C4739A" w14:textId="77777777" w:rsidR="0012122C" w:rsidRDefault="0012122C" w:rsidP="0012122C">
      <w:pPr>
        <w:jc w:val="both"/>
        <w:rPr>
          <w:strike/>
        </w:rPr>
      </w:pPr>
      <w:r>
        <w:t xml:space="preserve">Over the past half century smoking has become increasingly concentrated in our most deprived communities and consequently, so too has the burden on health and wealth. Spending on tobacco is not a transaction entered into freely. Most smokers say that they want to quit and every year more than one in three make a serious attempt to quit. However, tobacco dependence makes this choice harder to implement and data show that nicotine dependence increases with age and deprivation.  High rates of parental smoking not only make disadvantaged children sick, </w:t>
      </w:r>
      <w:proofErr w:type="gramStart"/>
      <w:r>
        <w:t>it</w:t>
      </w:r>
      <w:proofErr w:type="gramEnd"/>
      <w:r>
        <w:t xml:space="preserve"> keeps them poor, it blights their communities with premature mortality and sustained disability. It is beyond the scope of this report to estimate the enduring impact on local economies although what economists refer to as a multiplier effect seems likely.  </w:t>
      </w:r>
    </w:p>
    <w:p w14:paraId="7CDE2E68" w14:textId="77777777" w:rsidR="0012122C" w:rsidRDefault="0012122C" w:rsidP="0012122C">
      <w:pPr>
        <w:rPr>
          <w:strike/>
        </w:rPr>
      </w:pPr>
    </w:p>
    <w:p w14:paraId="0C12CB48" w14:textId="4C83F5BF" w:rsidR="0012122C" w:rsidRDefault="0012122C" w:rsidP="0012122C">
      <w:pPr>
        <w:jc w:val="both"/>
      </w:pPr>
      <w:r>
        <w:t xml:space="preserve">What is evident is that making smoking obsolete would act as a highly targeted tax cut reaching precisely our most deprived families and communities making a material difference to household finances and local economies, releasing funds to families to spend on what matters to them most. </w:t>
      </w:r>
    </w:p>
    <w:p w14:paraId="79952A96" w14:textId="6A8FB31A" w:rsidR="00391EBD" w:rsidRDefault="00391EBD" w:rsidP="0012122C">
      <w:pPr>
        <w:jc w:val="both"/>
        <w:rPr>
          <w:rStyle w:val="Hyperlink"/>
        </w:rPr>
      </w:pPr>
    </w:p>
    <w:p w14:paraId="25D6DAF7" w14:textId="3E9B0C7F" w:rsidR="00391EBD" w:rsidRDefault="00391EBD" w:rsidP="0012122C">
      <w:pPr>
        <w:jc w:val="both"/>
        <w:rPr>
          <w:rStyle w:val="Hyperlink"/>
        </w:rPr>
      </w:pPr>
    </w:p>
    <w:p w14:paraId="5D3B4B03" w14:textId="46B99AFD" w:rsidR="00391EBD" w:rsidRDefault="00391EBD" w:rsidP="0012122C">
      <w:pPr>
        <w:jc w:val="both"/>
        <w:rPr>
          <w:rStyle w:val="Hyperlink"/>
        </w:rPr>
      </w:pPr>
    </w:p>
    <w:sdt>
      <w:sdtPr>
        <w:rPr>
          <w:color w:val="auto"/>
        </w:rPr>
        <w:id w:val="-916312648"/>
        <w:docPartObj>
          <w:docPartGallery w:val="Bibliographies"/>
          <w:docPartUnique/>
        </w:docPartObj>
      </w:sdtPr>
      <w:sdtEndPr>
        <w:rPr>
          <w:rFonts w:asciiTheme="minorHAnsi" w:eastAsiaTheme="minorEastAsia" w:hAnsiTheme="minorHAnsi" w:cstheme="minorBidi"/>
          <w:sz w:val="24"/>
          <w:szCs w:val="24"/>
          <w:lang w:val="en-GB"/>
        </w:rPr>
      </w:sdtEndPr>
      <w:sdtContent>
        <w:p w14:paraId="613E9290" w14:textId="5E14F2C2" w:rsidR="00AE0CD3" w:rsidRP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sdt>
          <w:sdtPr>
            <w:id w:val="-573587230"/>
            <w:bibliography/>
          </w:sdtPr>
          <w:sdtContent>
            <w:p w14:paraId="7C8427F9" w14:textId="77777777" w:rsidR="00AE0CD3" w:rsidRDefault="00AE0CD3" w:rsidP="00AE0CD3">
              <w:pPr>
                <w:pStyle w:val="Bibliography"/>
                <w:ind w:left="720" w:hanging="720"/>
                <w:rPr>
                  <w:noProof/>
                  <w:lang w:val="en-US"/>
                </w:rPr>
              </w:pPr>
              <w:r>
                <w:fldChar w:fldCharType="begin"/>
              </w:r>
              <w:r>
                <w:instrText xml:space="preserve"> BIBLIOGRAPHY </w:instrText>
              </w:r>
              <w:r>
                <w:fldChar w:fldCharType="separate"/>
              </w:r>
              <w:r>
                <w:rPr>
                  <w:noProof/>
                  <w:lang w:val="en-US"/>
                </w:rPr>
                <w:t xml:space="preserve">ASH Scotland. (2021). </w:t>
              </w:r>
              <w:r>
                <w:rPr>
                  <w:i/>
                  <w:iCs/>
                  <w:noProof/>
                  <w:lang w:val="en-US"/>
                </w:rPr>
                <w:t>Calculating the cost of smoking.</w:t>
              </w:r>
              <w:r>
                <w:rPr>
                  <w:noProof/>
                  <w:lang w:val="en-US"/>
                </w:rPr>
                <w:t xml:space="preserve"> Retrieved from https://www.ashscotland.org.uk/media/850413/28-calculating-the-cost-of-smoking-june-2021.pdf</w:t>
              </w:r>
            </w:p>
            <w:p w14:paraId="38898E2E" w14:textId="3CFA0169" w:rsidR="00AE0CD3" w:rsidRDefault="00AE0CD3" w:rsidP="00AE0CD3">
              <w:r>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4D6CD07A" w14:textId="77777777" w:rsidR="005475B4" w:rsidRDefault="005475B4" w:rsidP="00391EBD">
      <w:pPr>
        <w:rPr>
          <w:b/>
          <w:bCs/>
        </w:rPr>
      </w:pPr>
    </w:p>
    <w:p w14:paraId="6140D5A5" w14:textId="77777777" w:rsidR="005475B4" w:rsidRDefault="005475B4" w:rsidP="005475B4">
      <w:pPr>
        <w:jc w:val="both"/>
        <w:rPr>
          <w:b/>
          <w:bCs/>
        </w:rPr>
      </w:pPr>
    </w:p>
    <w:p w14:paraId="3354E597" w14:textId="77777777" w:rsidR="005475B4" w:rsidRDefault="005475B4" w:rsidP="005475B4">
      <w:pPr>
        <w:jc w:val="both"/>
        <w:rPr>
          <w:b/>
          <w:bCs/>
        </w:rPr>
      </w:pPr>
    </w:p>
    <w:p w14:paraId="11BCF362" w14:textId="77777777" w:rsidR="005475B4" w:rsidRDefault="005475B4" w:rsidP="005475B4">
      <w:pPr>
        <w:jc w:val="both"/>
        <w:rPr>
          <w:b/>
          <w:bCs/>
        </w:rPr>
      </w:pPr>
    </w:p>
    <w:p w14:paraId="3CD5C5B1" w14:textId="77777777" w:rsidR="005475B4" w:rsidRDefault="005475B4" w:rsidP="005475B4">
      <w:pPr>
        <w:jc w:val="both"/>
        <w:rPr>
          <w:b/>
          <w:bCs/>
        </w:rPr>
      </w:pPr>
    </w:p>
    <w:p w14:paraId="5F67C097" w14:textId="77777777" w:rsidR="005475B4" w:rsidRDefault="005475B4" w:rsidP="005475B4">
      <w:pPr>
        <w:jc w:val="both"/>
        <w:rPr>
          <w:b/>
          <w:bCs/>
        </w:rPr>
      </w:pPr>
    </w:p>
    <w:p w14:paraId="7C0C13F4" w14:textId="77777777" w:rsidR="005475B4" w:rsidRDefault="005475B4" w:rsidP="005475B4">
      <w:pPr>
        <w:jc w:val="both"/>
        <w:rPr>
          <w:b/>
          <w:bCs/>
        </w:rPr>
      </w:pPr>
    </w:p>
    <w:p w14:paraId="540AAB79" w14:textId="77777777" w:rsidR="005475B4" w:rsidRDefault="005475B4" w:rsidP="005475B4">
      <w:pPr>
        <w:jc w:val="both"/>
        <w:rPr>
          <w:b/>
          <w:bCs/>
        </w:rPr>
      </w:pPr>
    </w:p>
    <w:p w14:paraId="0286FC2E" w14:textId="77777777" w:rsidR="005475B4" w:rsidRDefault="005475B4" w:rsidP="005475B4">
      <w:pPr>
        <w:jc w:val="both"/>
        <w:rPr>
          <w:b/>
          <w:bCs/>
        </w:rPr>
      </w:pPr>
    </w:p>
    <w:p w14:paraId="002C29BD" w14:textId="77777777" w:rsidR="005475B4" w:rsidRDefault="005475B4" w:rsidP="005475B4">
      <w:pPr>
        <w:jc w:val="both"/>
        <w:rPr>
          <w:b/>
          <w:bCs/>
        </w:rPr>
      </w:pPr>
    </w:p>
    <w:p w14:paraId="6421CBA3" w14:textId="77777777" w:rsidR="005475B4" w:rsidRDefault="005475B4" w:rsidP="005475B4">
      <w:pPr>
        <w:jc w:val="both"/>
        <w:rPr>
          <w:b/>
          <w:bCs/>
        </w:rPr>
      </w:pPr>
    </w:p>
    <w:p w14:paraId="07F82856" w14:textId="77777777" w:rsidR="005475B4" w:rsidRDefault="005475B4" w:rsidP="005475B4">
      <w:pPr>
        <w:jc w:val="both"/>
        <w:rPr>
          <w:b/>
          <w:bCs/>
        </w:rPr>
      </w:pPr>
    </w:p>
    <w:p w14:paraId="1116F380" w14:textId="77777777" w:rsidR="005475B4" w:rsidRDefault="005475B4" w:rsidP="005475B4">
      <w:pPr>
        <w:jc w:val="both"/>
        <w:rPr>
          <w:b/>
          <w:bCs/>
        </w:rPr>
      </w:pPr>
    </w:p>
    <w:p w14:paraId="59D55949" w14:textId="77777777" w:rsidR="005475B4" w:rsidRDefault="005475B4" w:rsidP="005475B4">
      <w:pPr>
        <w:jc w:val="both"/>
        <w:rPr>
          <w:b/>
          <w:bCs/>
        </w:rPr>
      </w:pPr>
    </w:p>
    <w:p w14:paraId="6EA20AB1" w14:textId="77777777" w:rsidR="005475B4" w:rsidRDefault="005475B4" w:rsidP="005475B4">
      <w:pPr>
        <w:jc w:val="both"/>
        <w:rPr>
          <w:b/>
          <w:bCs/>
        </w:rPr>
      </w:pPr>
    </w:p>
    <w:p w14:paraId="4A43B6E3" w14:textId="77777777" w:rsidR="005475B4" w:rsidRDefault="005475B4" w:rsidP="005475B4">
      <w:pPr>
        <w:jc w:val="both"/>
        <w:rPr>
          <w:b/>
          <w:bCs/>
        </w:rPr>
      </w:pPr>
    </w:p>
    <w:p w14:paraId="06DD2B09" w14:textId="77777777" w:rsidR="005475B4" w:rsidRDefault="005475B4" w:rsidP="005475B4">
      <w:pPr>
        <w:jc w:val="both"/>
        <w:rPr>
          <w:b/>
          <w:bCs/>
        </w:rPr>
      </w:pPr>
    </w:p>
    <w:p w14:paraId="496B4DC9" w14:textId="77777777" w:rsidR="005475B4" w:rsidRDefault="005475B4" w:rsidP="005475B4">
      <w:pPr>
        <w:jc w:val="both"/>
        <w:rPr>
          <w:b/>
          <w:bCs/>
        </w:rPr>
      </w:pPr>
    </w:p>
    <w:p w14:paraId="2DB4B3F0" w14:textId="77777777" w:rsidR="005475B4" w:rsidRDefault="005475B4" w:rsidP="005475B4">
      <w:pPr>
        <w:jc w:val="both"/>
        <w:rPr>
          <w:b/>
          <w:bCs/>
        </w:rPr>
      </w:pPr>
    </w:p>
    <w:p w14:paraId="0E3CCB3E" w14:textId="77777777" w:rsidR="005475B4" w:rsidRDefault="005475B4" w:rsidP="005475B4">
      <w:pPr>
        <w:jc w:val="both"/>
        <w:rPr>
          <w:b/>
          <w:bCs/>
        </w:rPr>
      </w:pPr>
    </w:p>
    <w:p w14:paraId="3A86789A" w14:textId="77777777" w:rsidR="005475B4" w:rsidRDefault="005475B4" w:rsidP="005475B4">
      <w:pPr>
        <w:jc w:val="both"/>
        <w:rPr>
          <w:b/>
          <w:bCs/>
        </w:rPr>
      </w:pPr>
    </w:p>
    <w:p w14:paraId="101EEFD9" w14:textId="77777777" w:rsidR="005475B4" w:rsidRDefault="005475B4" w:rsidP="005475B4">
      <w:pPr>
        <w:jc w:val="both"/>
        <w:rPr>
          <w:b/>
          <w:bCs/>
        </w:rPr>
      </w:pPr>
    </w:p>
    <w:p w14:paraId="01841C83" w14:textId="77777777" w:rsidR="005475B4" w:rsidRDefault="005475B4" w:rsidP="005475B4">
      <w:pPr>
        <w:jc w:val="both"/>
        <w:rPr>
          <w:b/>
          <w:bCs/>
        </w:rPr>
      </w:pPr>
    </w:p>
    <w:p w14:paraId="5F9E7D2D" w14:textId="77777777" w:rsidR="005475B4" w:rsidRDefault="005475B4" w:rsidP="005475B4">
      <w:pPr>
        <w:jc w:val="both"/>
        <w:rPr>
          <w:b/>
          <w:bCs/>
        </w:rPr>
      </w:pPr>
    </w:p>
    <w:p w14:paraId="33C0317F" w14:textId="77777777" w:rsidR="005475B4" w:rsidRDefault="005475B4" w:rsidP="005475B4">
      <w:pPr>
        <w:jc w:val="both"/>
        <w:rPr>
          <w:b/>
          <w:bCs/>
        </w:rPr>
      </w:pPr>
    </w:p>
    <w:p w14:paraId="45632873" w14:textId="77777777" w:rsidR="005475B4" w:rsidRDefault="005475B4" w:rsidP="005475B4">
      <w:pPr>
        <w:jc w:val="both"/>
        <w:rPr>
          <w:b/>
          <w:bCs/>
        </w:rPr>
      </w:pPr>
    </w:p>
    <w:p w14:paraId="7513B6BD" w14:textId="77777777" w:rsidR="005475B4" w:rsidRDefault="005475B4" w:rsidP="005475B4">
      <w:pPr>
        <w:jc w:val="both"/>
        <w:rPr>
          <w:b/>
          <w:bCs/>
        </w:rPr>
      </w:pPr>
    </w:p>
    <w:p w14:paraId="5CDEBAEE" w14:textId="77777777" w:rsidR="005475B4" w:rsidRDefault="005475B4" w:rsidP="005475B4">
      <w:pPr>
        <w:jc w:val="both"/>
        <w:rPr>
          <w:b/>
          <w:bCs/>
        </w:rPr>
      </w:pPr>
    </w:p>
    <w:p w14:paraId="527657A2" w14:textId="77777777" w:rsidR="005475B4" w:rsidRDefault="005475B4" w:rsidP="005475B4">
      <w:pPr>
        <w:jc w:val="both"/>
        <w:rPr>
          <w:b/>
          <w:bCs/>
        </w:rPr>
      </w:pPr>
    </w:p>
    <w:p w14:paraId="7F05386E" w14:textId="77777777" w:rsidR="005475B4" w:rsidRDefault="005475B4" w:rsidP="005475B4">
      <w:pPr>
        <w:jc w:val="both"/>
        <w:rPr>
          <w:b/>
          <w:bCs/>
        </w:rPr>
      </w:pPr>
    </w:p>
    <w:p w14:paraId="2FB3E2D6" w14:textId="77777777" w:rsidR="005475B4" w:rsidRDefault="005475B4" w:rsidP="005475B4">
      <w:pPr>
        <w:jc w:val="both"/>
        <w:rPr>
          <w:b/>
          <w:bCs/>
        </w:rPr>
      </w:pPr>
    </w:p>
    <w:p w14:paraId="01E93F49" w14:textId="77777777" w:rsidR="005475B4" w:rsidRDefault="005475B4" w:rsidP="005475B4">
      <w:pPr>
        <w:jc w:val="both"/>
        <w:rPr>
          <w:b/>
          <w:bCs/>
        </w:rPr>
      </w:pPr>
    </w:p>
    <w:p w14:paraId="2764B00C" w14:textId="77777777" w:rsidR="005475B4" w:rsidRDefault="005475B4" w:rsidP="005475B4">
      <w:pPr>
        <w:jc w:val="both"/>
        <w:rPr>
          <w:b/>
          <w:bCs/>
        </w:rPr>
      </w:pPr>
    </w:p>
    <w:p w14:paraId="2FD53687" w14:textId="77777777" w:rsidR="005475B4" w:rsidRDefault="005475B4" w:rsidP="005475B4">
      <w:pPr>
        <w:jc w:val="both"/>
        <w:rPr>
          <w:b/>
          <w:bCs/>
        </w:rPr>
      </w:pPr>
    </w:p>
    <w:p w14:paraId="1FFD5EF3" w14:textId="77777777" w:rsidR="005475B4" w:rsidRDefault="005475B4" w:rsidP="005475B4">
      <w:pPr>
        <w:jc w:val="both"/>
        <w:rPr>
          <w:b/>
          <w:bCs/>
        </w:rPr>
      </w:pPr>
    </w:p>
    <w:p w14:paraId="1647C1E8" w14:textId="77777777" w:rsidR="005475B4" w:rsidRDefault="005475B4" w:rsidP="005475B4">
      <w:pPr>
        <w:jc w:val="both"/>
        <w:rPr>
          <w:b/>
          <w:bCs/>
        </w:rPr>
      </w:pPr>
    </w:p>
    <w:p w14:paraId="7FA613F8" w14:textId="77777777" w:rsidR="005475B4" w:rsidRDefault="005475B4" w:rsidP="005475B4">
      <w:pPr>
        <w:jc w:val="both"/>
        <w:rPr>
          <w:b/>
          <w:bCs/>
        </w:rPr>
      </w:pPr>
    </w:p>
    <w:p w14:paraId="724C9318" w14:textId="77777777" w:rsidR="005475B4" w:rsidRDefault="005475B4" w:rsidP="005475B4">
      <w:pPr>
        <w:jc w:val="both"/>
        <w:rPr>
          <w:b/>
          <w:bCs/>
        </w:rPr>
      </w:pPr>
    </w:p>
    <w:p w14:paraId="578553E7" w14:textId="77777777" w:rsidR="005475B4" w:rsidRDefault="005475B4" w:rsidP="005475B4">
      <w:pPr>
        <w:jc w:val="both"/>
        <w:rPr>
          <w:b/>
          <w:bCs/>
        </w:rPr>
      </w:pPr>
    </w:p>
    <w:p w14:paraId="18F35691" w14:textId="77777777" w:rsidR="005475B4" w:rsidRDefault="005475B4" w:rsidP="005475B4">
      <w:pPr>
        <w:jc w:val="both"/>
        <w:rPr>
          <w:b/>
          <w:bCs/>
        </w:rPr>
      </w:pPr>
    </w:p>
    <w:p w14:paraId="7C2FD1EC" w14:textId="77777777" w:rsidR="005475B4" w:rsidRDefault="005475B4" w:rsidP="005475B4">
      <w:pPr>
        <w:jc w:val="both"/>
        <w:rPr>
          <w:b/>
          <w:bCs/>
        </w:rPr>
      </w:pPr>
    </w:p>
    <w:p w14:paraId="64384FA9" w14:textId="77777777" w:rsidR="005475B4" w:rsidRDefault="005475B4" w:rsidP="005475B4">
      <w:pPr>
        <w:jc w:val="both"/>
        <w:rPr>
          <w:b/>
          <w:bCs/>
        </w:rPr>
      </w:pPr>
    </w:p>
    <w:p w14:paraId="5A10A297" w14:textId="77777777" w:rsidR="005475B4" w:rsidRDefault="005475B4" w:rsidP="005475B4">
      <w:pPr>
        <w:jc w:val="both"/>
        <w:rPr>
          <w:b/>
          <w:bCs/>
        </w:rPr>
      </w:pPr>
    </w:p>
    <w:p w14:paraId="1BE93322" w14:textId="77777777" w:rsidR="005475B4" w:rsidRDefault="005475B4" w:rsidP="005475B4">
      <w:pPr>
        <w:jc w:val="both"/>
        <w:rPr>
          <w:b/>
          <w:bCs/>
        </w:rPr>
      </w:pPr>
    </w:p>
    <w:p w14:paraId="3B004D16" w14:textId="77777777" w:rsidR="005475B4" w:rsidRDefault="005475B4" w:rsidP="005475B4">
      <w:pPr>
        <w:jc w:val="both"/>
        <w:rPr>
          <w:b/>
          <w:bCs/>
        </w:rPr>
      </w:pPr>
    </w:p>
    <w:p w14:paraId="55587AA5" w14:textId="77777777" w:rsidR="005475B4" w:rsidRDefault="005475B4" w:rsidP="005475B4">
      <w:pPr>
        <w:jc w:val="both"/>
        <w:rPr>
          <w:b/>
          <w:bCs/>
        </w:rPr>
      </w:pPr>
    </w:p>
    <w:p w14:paraId="66359AF0" w14:textId="77777777" w:rsidR="005475B4" w:rsidRDefault="005475B4" w:rsidP="005475B4">
      <w:pPr>
        <w:jc w:val="both"/>
        <w:rPr>
          <w:b/>
          <w:bCs/>
        </w:rPr>
      </w:pPr>
    </w:p>
    <w:p w14:paraId="776BE91D" w14:textId="77777777" w:rsidR="005475B4" w:rsidRDefault="005475B4" w:rsidP="005475B4">
      <w:pPr>
        <w:jc w:val="both"/>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13E87791" w14:textId="4A482175" w:rsidR="005475B4" w:rsidRDefault="005475B4" w:rsidP="005475B4">
      <w:pPr>
        <w:jc w:val="both"/>
        <w:rPr>
          <w:b/>
          <w:bCs/>
        </w:rPr>
      </w:pPr>
      <w:r>
        <w:rPr>
          <w:b/>
          <w:bCs/>
        </w:rPr>
        <w:lastRenderedPageBreak/>
        <w:t>Table 1</w:t>
      </w:r>
      <w:r>
        <w:rPr>
          <w:b/>
          <w:bCs/>
        </w:rPr>
        <w:t>) C</w:t>
      </w:r>
      <w:r>
        <w:rPr>
          <w:b/>
          <w:bCs/>
        </w:rPr>
        <w:t xml:space="preserve">alculation of the upshift factor. </w:t>
      </w:r>
    </w:p>
    <w:p w14:paraId="22E29B1E" w14:textId="77777777" w:rsidR="00C0139E" w:rsidRDefault="00C0139E" w:rsidP="00391EBD">
      <w:pPr>
        <w:rPr>
          <w:b/>
          <w:bCs/>
        </w:rPr>
      </w:pPr>
    </w:p>
    <w:p w14:paraId="77AACC34" w14:textId="77777777" w:rsidR="00C0139E" w:rsidRDefault="00C0139E" w:rsidP="00391EBD">
      <w:pPr>
        <w:rPr>
          <w:b/>
          <w:bCs/>
        </w:rPr>
      </w:pPr>
    </w:p>
    <w:tbl>
      <w:tblPr>
        <w:tblW w:w="12041" w:type="dxa"/>
        <w:tblLook w:val="04A0" w:firstRow="1" w:lastRow="0" w:firstColumn="1" w:lastColumn="0" w:noHBand="0" w:noVBand="1"/>
      </w:tblPr>
      <w:tblGrid>
        <w:gridCol w:w="3942"/>
        <w:gridCol w:w="880"/>
        <w:gridCol w:w="875"/>
        <w:gridCol w:w="3420"/>
        <w:gridCol w:w="880"/>
        <w:gridCol w:w="875"/>
        <w:gridCol w:w="1255"/>
      </w:tblGrid>
      <w:tr w:rsidR="00C0139E" w:rsidRPr="00C0139E" w14:paraId="03A142FC" w14:textId="77777777" w:rsidTr="00C0139E">
        <w:trPr>
          <w:trHeight w:val="300"/>
        </w:trPr>
        <w:tc>
          <w:tcPr>
            <w:tcW w:w="12041" w:type="dxa"/>
            <w:gridSpan w:val="7"/>
            <w:tcBorders>
              <w:top w:val="nil"/>
              <w:left w:val="nil"/>
              <w:bottom w:val="nil"/>
              <w:right w:val="nil"/>
            </w:tcBorders>
            <w:shd w:val="clear" w:color="000000" w:fill="A9D08E"/>
            <w:noWrap/>
            <w:vAlign w:val="bottom"/>
            <w:hideMark/>
          </w:tcPr>
          <w:p w14:paraId="53050BC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HMRC Stats</w:t>
            </w:r>
          </w:p>
        </w:tc>
      </w:tr>
      <w:tr w:rsidR="00C0139E" w:rsidRPr="00C0139E" w14:paraId="4B1A508D" w14:textId="77777777" w:rsidTr="00C0139E">
        <w:trPr>
          <w:trHeight w:val="300"/>
        </w:trPr>
        <w:tc>
          <w:tcPr>
            <w:tcW w:w="5654" w:type="dxa"/>
            <w:gridSpan w:val="3"/>
            <w:tcBorders>
              <w:top w:val="nil"/>
              <w:left w:val="nil"/>
              <w:bottom w:val="nil"/>
              <w:right w:val="nil"/>
            </w:tcBorders>
            <w:shd w:val="clear" w:color="000000" w:fill="548235"/>
            <w:noWrap/>
            <w:vAlign w:val="bottom"/>
            <w:hideMark/>
          </w:tcPr>
          <w:p w14:paraId="5C937CC9"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Cigarettes</w:t>
            </w:r>
          </w:p>
        </w:tc>
        <w:tc>
          <w:tcPr>
            <w:tcW w:w="5132" w:type="dxa"/>
            <w:gridSpan w:val="3"/>
            <w:tcBorders>
              <w:top w:val="nil"/>
              <w:left w:val="nil"/>
              <w:bottom w:val="nil"/>
              <w:right w:val="nil"/>
            </w:tcBorders>
            <w:shd w:val="clear" w:color="000000" w:fill="548235"/>
            <w:noWrap/>
            <w:vAlign w:val="bottom"/>
            <w:hideMark/>
          </w:tcPr>
          <w:p w14:paraId="2127108D"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Hand-Rolled</w:t>
            </w:r>
          </w:p>
        </w:tc>
        <w:tc>
          <w:tcPr>
            <w:tcW w:w="1255" w:type="dxa"/>
            <w:tcBorders>
              <w:top w:val="nil"/>
              <w:left w:val="nil"/>
              <w:bottom w:val="nil"/>
              <w:right w:val="nil"/>
            </w:tcBorders>
            <w:shd w:val="clear" w:color="000000" w:fill="548235"/>
            <w:noWrap/>
            <w:vAlign w:val="bottom"/>
            <w:hideMark/>
          </w:tcPr>
          <w:p w14:paraId="72B2A96B"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Totals (£m)</w:t>
            </w:r>
          </w:p>
        </w:tc>
      </w:tr>
      <w:tr w:rsidR="00C0139E" w:rsidRPr="00C0139E" w14:paraId="491A1140" w14:textId="77777777" w:rsidTr="00C0139E">
        <w:trPr>
          <w:trHeight w:val="300"/>
        </w:trPr>
        <w:tc>
          <w:tcPr>
            <w:tcW w:w="3942" w:type="dxa"/>
            <w:tcBorders>
              <w:top w:val="nil"/>
              <w:left w:val="nil"/>
              <w:bottom w:val="nil"/>
              <w:right w:val="nil"/>
            </w:tcBorders>
            <w:shd w:val="clear" w:color="auto" w:fill="auto"/>
            <w:noWrap/>
            <w:vAlign w:val="bottom"/>
            <w:hideMark/>
          </w:tcPr>
          <w:p w14:paraId="4B91139A"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Total duty receipts (£m)</w:t>
            </w:r>
          </w:p>
        </w:tc>
        <w:tc>
          <w:tcPr>
            <w:tcW w:w="880" w:type="dxa"/>
            <w:tcBorders>
              <w:top w:val="nil"/>
              <w:left w:val="nil"/>
              <w:bottom w:val="nil"/>
              <w:right w:val="nil"/>
            </w:tcBorders>
            <w:shd w:val="clear" w:color="auto" w:fill="auto"/>
            <w:noWrap/>
            <w:vAlign w:val="bottom"/>
            <w:hideMark/>
          </w:tcPr>
          <w:p w14:paraId="17A9E7BE"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6C2C33F8"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6,372</w:t>
            </w:r>
          </w:p>
        </w:tc>
        <w:tc>
          <w:tcPr>
            <w:tcW w:w="3420" w:type="dxa"/>
            <w:tcBorders>
              <w:top w:val="nil"/>
              <w:left w:val="nil"/>
              <w:bottom w:val="nil"/>
              <w:right w:val="nil"/>
            </w:tcBorders>
            <w:shd w:val="clear" w:color="auto" w:fill="auto"/>
            <w:noWrap/>
            <w:vAlign w:val="bottom"/>
            <w:hideMark/>
          </w:tcPr>
          <w:p w14:paraId="76D2AA06"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Total duty receipts (£m)</w:t>
            </w:r>
          </w:p>
        </w:tc>
        <w:tc>
          <w:tcPr>
            <w:tcW w:w="880" w:type="dxa"/>
            <w:tcBorders>
              <w:top w:val="nil"/>
              <w:left w:val="nil"/>
              <w:bottom w:val="nil"/>
              <w:right w:val="nil"/>
            </w:tcBorders>
            <w:shd w:val="clear" w:color="auto" w:fill="auto"/>
            <w:noWrap/>
            <w:vAlign w:val="bottom"/>
            <w:hideMark/>
          </w:tcPr>
          <w:p w14:paraId="0AD1AEFB"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29327DF8"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1,188</w:t>
            </w:r>
          </w:p>
        </w:tc>
        <w:tc>
          <w:tcPr>
            <w:tcW w:w="1255" w:type="dxa"/>
            <w:tcBorders>
              <w:top w:val="nil"/>
              <w:left w:val="nil"/>
              <w:bottom w:val="nil"/>
              <w:right w:val="nil"/>
            </w:tcBorders>
            <w:shd w:val="clear" w:color="auto" w:fill="auto"/>
            <w:noWrap/>
            <w:vAlign w:val="bottom"/>
            <w:hideMark/>
          </w:tcPr>
          <w:p w14:paraId="11176212"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38429C71" w14:textId="77777777" w:rsidTr="00C0139E">
        <w:trPr>
          <w:trHeight w:val="300"/>
        </w:trPr>
        <w:tc>
          <w:tcPr>
            <w:tcW w:w="3942" w:type="dxa"/>
            <w:tcBorders>
              <w:top w:val="nil"/>
              <w:left w:val="nil"/>
              <w:bottom w:val="nil"/>
              <w:right w:val="nil"/>
            </w:tcBorders>
            <w:shd w:val="clear" w:color="auto" w:fill="auto"/>
            <w:noWrap/>
            <w:vAlign w:val="bottom"/>
            <w:hideMark/>
          </w:tcPr>
          <w:p w14:paraId="08148D6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Pack Price (£ per 20 cigs)</w:t>
            </w:r>
          </w:p>
        </w:tc>
        <w:tc>
          <w:tcPr>
            <w:tcW w:w="880" w:type="dxa"/>
            <w:tcBorders>
              <w:top w:val="nil"/>
              <w:left w:val="nil"/>
              <w:bottom w:val="nil"/>
              <w:right w:val="nil"/>
            </w:tcBorders>
            <w:shd w:val="clear" w:color="auto" w:fill="auto"/>
            <w:noWrap/>
            <w:vAlign w:val="bottom"/>
            <w:hideMark/>
          </w:tcPr>
          <w:p w14:paraId="1780A6DF"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3D8E6A51"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10.63</w:t>
            </w:r>
          </w:p>
        </w:tc>
        <w:tc>
          <w:tcPr>
            <w:tcW w:w="3420" w:type="dxa"/>
            <w:tcBorders>
              <w:top w:val="nil"/>
              <w:left w:val="nil"/>
              <w:bottom w:val="nil"/>
              <w:right w:val="nil"/>
            </w:tcBorders>
            <w:shd w:val="clear" w:color="auto" w:fill="auto"/>
            <w:noWrap/>
            <w:vAlign w:val="bottom"/>
            <w:hideMark/>
          </w:tcPr>
          <w:p w14:paraId="1B916CD6"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Price per 100g (Dec 2020)</w:t>
            </w:r>
          </w:p>
        </w:tc>
        <w:tc>
          <w:tcPr>
            <w:tcW w:w="880" w:type="dxa"/>
            <w:tcBorders>
              <w:top w:val="nil"/>
              <w:left w:val="nil"/>
              <w:bottom w:val="nil"/>
              <w:right w:val="nil"/>
            </w:tcBorders>
            <w:shd w:val="clear" w:color="auto" w:fill="auto"/>
            <w:noWrap/>
            <w:vAlign w:val="bottom"/>
            <w:hideMark/>
          </w:tcPr>
          <w:p w14:paraId="35090531"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3618EC2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51.60</w:t>
            </w:r>
          </w:p>
        </w:tc>
        <w:tc>
          <w:tcPr>
            <w:tcW w:w="1255" w:type="dxa"/>
            <w:tcBorders>
              <w:top w:val="nil"/>
              <w:left w:val="nil"/>
              <w:bottom w:val="nil"/>
              <w:right w:val="nil"/>
            </w:tcBorders>
            <w:shd w:val="clear" w:color="auto" w:fill="auto"/>
            <w:noWrap/>
            <w:vAlign w:val="bottom"/>
            <w:hideMark/>
          </w:tcPr>
          <w:p w14:paraId="7528C60B"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72AA6B2E" w14:textId="77777777" w:rsidTr="00C0139E">
        <w:trPr>
          <w:trHeight w:val="300"/>
        </w:trPr>
        <w:tc>
          <w:tcPr>
            <w:tcW w:w="3942" w:type="dxa"/>
            <w:tcBorders>
              <w:top w:val="nil"/>
              <w:left w:val="nil"/>
              <w:bottom w:val="nil"/>
              <w:right w:val="nil"/>
            </w:tcBorders>
            <w:shd w:val="clear" w:color="auto" w:fill="auto"/>
            <w:noWrap/>
            <w:vAlign w:val="bottom"/>
            <w:hideMark/>
          </w:tcPr>
          <w:p w14:paraId="6E786C0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(3) Ad-Valorem tax rate</w:t>
            </w:r>
          </w:p>
        </w:tc>
        <w:tc>
          <w:tcPr>
            <w:tcW w:w="880" w:type="dxa"/>
            <w:tcBorders>
              <w:top w:val="nil"/>
              <w:left w:val="nil"/>
              <w:bottom w:val="nil"/>
              <w:right w:val="nil"/>
            </w:tcBorders>
            <w:shd w:val="clear" w:color="auto" w:fill="auto"/>
            <w:noWrap/>
            <w:vAlign w:val="bottom"/>
            <w:hideMark/>
          </w:tcPr>
          <w:p w14:paraId="1CD5EFC3"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565BD8C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0.165</w:t>
            </w:r>
          </w:p>
        </w:tc>
        <w:tc>
          <w:tcPr>
            <w:tcW w:w="3420" w:type="dxa"/>
            <w:tcBorders>
              <w:top w:val="nil"/>
              <w:left w:val="nil"/>
              <w:bottom w:val="nil"/>
              <w:right w:val="nil"/>
            </w:tcBorders>
            <w:shd w:val="clear" w:color="auto" w:fill="auto"/>
            <w:noWrap/>
            <w:vAlign w:val="bottom"/>
            <w:hideMark/>
          </w:tcPr>
          <w:p w14:paraId="1C98AC21"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(3) Price deflator</w:t>
            </w:r>
          </w:p>
        </w:tc>
        <w:tc>
          <w:tcPr>
            <w:tcW w:w="880" w:type="dxa"/>
            <w:tcBorders>
              <w:top w:val="nil"/>
              <w:left w:val="nil"/>
              <w:bottom w:val="nil"/>
              <w:right w:val="nil"/>
            </w:tcBorders>
            <w:shd w:val="clear" w:color="auto" w:fill="auto"/>
            <w:noWrap/>
            <w:vAlign w:val="bottom"/>
            <w:hideMark/>
          </w:tcPr>
          <w:p w14:paraId="2810334C"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108CC520"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0.93</w:t>
            </w:r>
          </w:p>
        </w:tc>
        <w:tc>
          <w:tcPr>
            <w:tcW w:w="1255" w:type="dxa"/>
            <w:tcBorders>
              <w:top w:val="nil"/>
              <w:left w:val="nil"/>
              <w:bottom w:val="nil"/>
              <w:right w:val="nil"/>
            </w:tcBorders>
            <w:shd w:val="clear" w:color="auto" w:fill="auto"/>
            <w:noWrap/>
            <w:vAlign w:val="bottom"/>
            <w:hideMark/>
          </w:tcPr>
          <w:p w14:paraId="0373204A"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7A06C815" w14:textId="77777777" w:rsidTr="00C0139E">
        <w:trPr>
          <w:trHeight w:val="300"/>
        </w:trPr>
        <w:tc>
          <w:tcPr>
            <w:tcW w:w="3942" w:type="dxa"/>
            <w:tcBorders>
              <w:top w:val="nil"/>
              <w:left w:val="nil"/>
              <w:bottom w:val="nil"/>
              <w:right w:val="nil"/>
            </w:tcBorders>
            <w:shd w:val="clear" w:color="auto" w:fill="auto"/>
            <w:noWrap/>
            <w:vAlign w:val="bottom"/>
            <w:hideMark/>
          </w:tcPr>
          <w:p w14:paraId="0EDEBBAD"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 Ad-Valorem tax (£ per pack)</w:t>
            </w:r>
          </w:p>
        </w:tc>
        <w:tc>
          <w:tcPr>
            <w:tcW w:w="880" w:type="dxa"/>
            <w:tcBorders>
              <w:top w:val="nil"/>
              <w:left w:val="nil"/>
              <w:bottom w:val="nil"/>
              <w:right w:val="nil"/>
            </w:tcBorders>
            <w:shd w:val="clear" w:color="auto" w:fill="auto"/>
            <w:noWrap/>
            <w:vAlign w:val="bottom"/>
            <w:hideMark/>
          </w:tcPr>
          <w:p w14:paraId="11D287F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 (3)</w:t>
            </w:r>
          </w:p>
        </w:tc>
        <w:tc>
          <w:tcPr>
            <w:tcW w:w="832" w:type="dxa"/>
            <w:tcBorders>
              <w:top w:val="nil"/>
              <w:left w:val="nil"/>
              <w:bottom w:val="nil"/>
              <w:right w:val="nil"/>
            </w:tcBorders>
            <w:shd w:val="clear" w:color="auto" w:fill="auto"/>
            <w:noWrap/>
            <w:vAlign w:val="bottom"/>
            <w:hideMark/>
          </w:tcPr>
          <w:p w14:paraId="54B7817F"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1.75</w:t>
            </w:r>
          </w:p>
        </w:tc>
        <w:tc>
          <w:tcPr>
            <w:tcW w:w="3420" w:type="dxa"/>
            <w:tcBorders>
              <w:top w:val="nil"/>
              <w:left w:val="nil"/>
              <w:bottom w:val="nil"/>
              <w:right w:val="nil"/>
            </w:tcBorders>
            <w:shd w:val="clear" w:color="auto" w:fill="auto"/>
            <w:noWrap/>
            <w:vAlign w:val="bottom"/>
            <w:hideMark/>
          </w:tcPr>
          <w:p w14:paraId="1EEFD2C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 Price per 100g (Dec 2018)</w:t>
            </w:r>
          </w:p>
        </w:tc>
        <w:tc>
          <w:tcPr>
            <w:tcW w:w="880" w:type="dxa"/>
            <w:tcBorders>
              <w:top w:val="nil"/>
              <w:left w:val="nil"/>
              <w:bottom w:val="nil"/>
              <w:right w:val="nil"/>
            </w:tcBorders>
            <w:shd w:val="clear" w:color="auto" w:fill="auto"/>
            <w:noWrap/>
            <w:vAlign w:val="bottom"/>
            <w:hideMark/>
          </w:tcPr>
          <w:p w14:paraId="71752C59"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 (3)</w:t>
            </w:r>
          </w:p>
        </w:tc>
        <w:tc>
          <w:tcPr>
            <w:tcW w:w="832" w:type="dxa"/>
            <w:tcBorders>
              <w:top w:val="nil"/>
              <w:left w:val="nil"/>
              <w:bottom w:val="nil"/>
              <w:right w:val="nil"/>
            </w:tcBorders>
            <w:shd w:val="clear" w:color="auto" w:fill="auto"/>
            <w:noWrap/>
            <w:vAlign w:val="bottom"/>
            <w:hideMark/>
          </w:tcPr>
          <w:p w14:paraId="3733444D"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47.90</w:t>
            </w:r>
          </w:p>
        </w:tc>
        <w:tc>
          <w:tcPr>
            <w:tcW w:w="1255" w:type="dxa"/>
            <w:tcBorders>
              <w:top w:val="nil"/>
              <w:left w:val="nil"/>
              <w:bottom w:val="nil"/>
              <w:right w:val="nil"/>
            </w:tcBorders>
            <w:shd w:val="clear" w:color="auto" w:fill="auto"/>
            <w:noWrap/>
            <w:vAlign w:val="bottom"/>
            <w:hideMark/>
          </w:tcPr>
          <w:p w14:paraId="44CFFC17"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779AF078" w14:textId="77777777" w:rsidTr="00C0139E">
        <w:trPr>
          <w:trHeight w:val="300"/>
        </w:trPr>
        <w:tc>
          <w:tcPr>
            <w:tcW w:w="3942" w:type="dxa"/>
            <w:tcBorders>
              <w:top w:val="nil"/>
              <w:left w:val="nil"/>
              <w:bottom w:val="nil"/>
              <w:right w:val="nil"/>
            </w:tcBorders>
            <w:shd w:val="clear" w:color="auto" w:fill="auto"/>
            <w:noWrap/>
            <w:vAlign w:val="bottom"/>
            <w:hideMark/>
          </w:tcPr>
          <w:p w14:paraId="7136C3A3"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Specific duty (£ per 1000 cigs)</w:t>
            </w:r>
          </w:p>
        </w:tc>
        <w:tc>
          <w:tcPr>
            <w:tcW w:w="880" w:type="dxa"/>
            <w:tcBorders>
              <w:top w:val="nil"/>
              <w:left w:val="nil"/>
              <w:bottom w:val="nil"/>
              <w:right w:val="nil"/>
            </w:tcBorders>
            <w:shd w:val="clear" w:color="auto" w:fill="auto"/>
            <w:noWrap/>
            <w:vAlign w:val="bottom"/>
            <w:hideMark/>
          </w:tcPr>
          <w:p w14:paraId="5CFC47B6"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555808ED"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228.29</w:t>
            </w:r>
          </w:p>
        </w:tc>
        <w:tc>
          <w:tcPr>
            <w:tcW w:w="3420" w:type="dxa"/>
            <w:tcBorders>
              <w:top w:val="nil"/>
              <w:left w:val="nil"/>
              <w:bottom w:val="nil"/>
              <w:right w:val="nil"/>
            </w:tcBorders>
            <w:shd w:val="clear" w:color="auto" w:fill="auto"/>
            <w:noWrap/>
            <w:vAlign w:val="bottom"/>
            <w:hideMark/>
          </w:tcPr>
          <w:p w14:paraId="2D5B56F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Specific duty (£ per kg)</w:t>
            </w:r>
          </w:p>
        </w:tc>
        <w:tc>
          <w:tcPr>
            <w:tcW w:w="880" w:type="dxa"/>
            <w:tcBorders>
              <w:top w:val="nil"/>
              <w:left w:val="nil"/>
              <w:bottom w:val="nil"/>
              <w:right w:val="nil"/>
            </w:tcBorders>
            <w:shd w:val="clear" w:color="auto" w:fill="auto"/>
            <w:noWrap/>
            <w:vAlign w:val="bottom"/>
            <w:hideMark/>
          </w:tcPr>
          <w:p w14:paraId="24235C81"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7BA08B7D"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234.65</w:t>
            </w:r>
          </w:p>
        </w:tc>
        <w:tc>
          <w:tcPr>
            <w:tcW w:w="1255" w:type="dxa"/>
            <w:tcBorders>
              <w:top w:val="nil"/>
              <w:left w:val="nil"/>
              <w:bottom w:val="nil"/>
              <w:right w:val="nil"/>
            </w:tcBorders>
            <w:shd w:val="clear" w:color="auto" w:fill="auto"/>
            <w:noWrap/>
            <w:vAlign w:val="bottom"/>
            <w:hideMark/>
          </w:tcPr>
          <w:p w14:paraId="59143750"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040A6CAE" w14:textId="77777777" w:rsidTr="00C0139E">
        <w:trPr>
          <w:trHeight w:val="300"/>
        </w:trPr>
        <w:tc>
          <w:tcPr>
            <w:tcW w:w="3942" w:type="dxa"/>
            <w:tcBorders>
              <w:top w:val="nil"/>
              <w:left w:val="nil"/>
              <w:bottom w:val="nil"/>
              <w:right w:val="nil"/>
            </w:tcBorders>
            <w:shd w:val="clear" w:color="auto" w:fill="auto"/>
            <w:noWrap/>
            <w:vAlign w:val="bottom"/>
            <w:hideMark/>
          </w:tcPr>
          <w:p w14:paraId="0E0827D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 Specific duty (£ per pack)</w:t>
            </w:r>
          </w:p>
        </w:tc>
        <w:tc>
          <w:tcPr>
            <w:tcW w:w="880" w:type="dxa"/>
            <w:tcBorders>
              <w:top w:val="nil"/>
              <w:left w:val="nil"/>
              <w:bottom w:val="nil"/>
              <w:right w:val="nil"/>
            </w:tcBorders>
            <w:shd w:val="clear" w:color="auto" w:fill="auto"/>
            <w:noWrap/>
            <w:vAlign w:val="bottom"/>
            <w:hideMark/>
          </w:tcPr>
          <w:p w14:paraId="69ECA9C8"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 20</w:t>
            </w:r>
          </w:p>
        </w:tc>
        <w:tc>
          <w:tcPr>
            <w:tcW w:w="832" w:type="dxa"/>
            <w:tcBorders>
              <w:top w:val="nil"/>
              <w:left w:val="nil"/>
              <w:bottom w:val="nil"/>
              <w:right w:val="nil"/>
            </w:tcBorders>
            <w:shd w:val="clear" w:color="auto" w:fill="auto"/>
            <w:noWrap/>
            <w:vAlign w:val="bottom"/>
            <w:hideMark/>
          </w:tcPr>
          <w:p w14:paraId="373A5F95"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4.57</w:t>
            </w:r>
          </w:p>
        </w:tc>
        <w:tc>
          <w:tcPr>
            <w:tcW w:w="3420" w:type="dxa"/>
            <w:tcBorders>
              <w:top w:val="nil"/>
              <w:left w:val="nil"/>
              <w:bottom w:val="nil"/>
              <w:right w:val="nil"/>
            </w:tcBorders>
            <w:shd w:val="clear" w:color="auto" w:fill="auto"/>
            <w:noWrap/>
            <w:vAlign w:val="bottom"/>
            <w:hideMark/>
          </w:tcPr>
          <w:p w14:paraId="5571AF9E"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 Specific duty (£ per 100g)</w:t>
            </w:r>
          </w:p>
        </w:tc>
        <w:tc>
          <w:tcPr>
            <w:tcW w:w="880" w:type="dxa"/>
            <w:tcBorders>
              <w:top w:val="nil"/>
              <w:left w:val="nil"/>
              <w:bottom w:val="nil"/>
              <w:right w:val="nil"/>
            </w:tcBorders>
            <w:shd w:val="clear" w:color="auto" w:fill="auto"/>
            <w:noWrap/>
            <w:vAlign w:val="bottom"/>
            <w:hideMark/>
          </w:tcPr>
          <w:p w14:paraId="056B2E19"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 10</w:t>
            </w:r>
          </w:p>
        </w:tc>
        <w:tc>
          <w:tcPr>
            <w:tcW w:w="832" w:type="dxa"/>
            <w:tcBorders>
              <w:top w:val="nil"/>
              <w:left w:val="nil"/>
              <w:bottom w:val="nil"/>
              <w:right w:val="nil"/>
            </w:tcBorders>
            <w:shd w:val="clear" w:color="auto" w:fill="auto"/>
            <w:noWrap/>
            <w:vAlign w:val="bottom"/>
            <w:hideMark/>
          </w:tcPr>
          <w:p w14:paraId="7BD4258F"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23.46</w:t>
            </w:r>
          </w:p>
        </w:tc>
        <w:tc>
          <w:tcPr>
            <w:tcW w:w="1255" w:type="dxa"/>
            <w:tcBorders>
              <w:top w:val="nil"/>
              <w:left w:val="nil"/>
              <w:bottom w:val="nil"/>
              <w:right w:val="nil"/>
            </w:tcBorders>
            <w:shd w:val="clear" w:color="auto" w:fill="auto"/>
            <w:noWrap/>
            <w:vAlign w:val="bottom"/>
            <w:hideMark/>
          </w:tcPr>
          <w:p w14:paraId="14B1CCCC"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4453417E" w14:textId="77777777" w:rsidTr="00C0139E">
        <w:trPr>
          <w:trHeight w:val="300"/>
        </w:trPr>
        <w:tc>
          <w:tcPr>
            <w:tcW w:w="3942" w:type="dxa"/>
            <w:tcBorders>
              <w:top w:val="nil"/>
              <w:left w:val="nil"/>
              <w:bottom w:val="nil"/>
              <w:right w:val="nil"/>
            </w:tcBorders>
            <w:shd w:val="clear" w:color="auto" w:fill="auto"/>
            <w:noWrap/>
            <w:vAlign w:val="bottom"/>
            <w:hideMark/>
          </w:tcPr>
          <w:p w14:paraId="1EF7F607"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(7) Total excise (£ per pack)</w:t>
            </w:r>
          </w:p>
        </w:tc>
        <w:tc>
          <w:tcPr>
            <w:tcW w:w="880" w:type="dxa"/>
            <w:tcBorders>
              <w:top w:val="nil"/>
              <w:left w:val="nil"/>
              <w:bottom w:val="nil"/>
              <w:right w:val="nil"/>
            </w:tcBorders>
            <w:shd w:val="clear" w:color="auto" w:fill="auto"/>
            <w:noWrap/>
            <w:vAlign w:val="bottom"/>
            <w:hideMark/>
          </w:tcPr>
          <w:p w14:paraId="29A62178"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 + (6)</w:t>
            </w:r>
          </w:p>
        </w:tc>
        <w:tc>
          <w:tcPr>
            <w:tcW w:w="832" w:type="dxa"/>
            <w:tcBorders>
              <w:top w:val="nil"/>
              <w:left w:val="nil"/>
              <w:bottom w:val="nil"/>
              <w:right w:val="nil"/>
            </w:tcBorders>
            <w:shd w:val="clear" w:color="auto" w:fill="auto"/>
            <w:noWrap/>
            <w:vAlign w:val="bottom"/>
            <w:hideMark/>
          </w:tcPr>
          <w:p w14:paraId="655EB18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6.32</w:t>
            </w:r>
          </w:p>
        </w:tc>
        <w:tc>
          <w:tcPr>
            <w:tcW w:w="3420" w:type="dxa"/>
            <w:tcBorders>
              <w:top w:val="nil"/>
              <w:left w:val="nil"/>
              <w:bottom w:val="nil"/>
              <w:right w:val="nil"/>
            </w:tcBorders>
            <w:shd w:val="clear" w:color="auto" w:fill="auto"/>
            <w:noWrap/>
            <w:vAlign w:val="bottom"/>
            <w:hideMark/>
          </w:tcPr>
          <w:p w14:paraId="7CCDD6C4" w14:textId="77777777" w:rsidR="00C0139E" w:rsidRPr="00C0139E" w:rsidRDefault="00C0139E" w:rsidP="00C0139E">
            <w:pPr>
              <w:jc w:val="right"/>
              <w:rPr>
                <w:rFonts w:ascii="Calibri" w:eastAsia="Times New Roman" w:hAnsi="Calibri" w:cs="Calibri"/>
                <w:color w:val="000000"/>
                <w:sz w:val="22"/>
                <w:szCs w:val="22"/>
                <w:lang w:eastAsia="en-GB"/>
              </w:rPr>
            </w:pPr>
          </w:p>
        </w:tc>
        <w:tc>
          <w:tcPr>
            <w:tcW w:w="880" w:type="dxa"/>
            <w:tcBorders>
              <w:top w:val="nil"/>
              <w:left w:val="nil"/>
              <w:bottom w:val="nil"/>
              <w:right w:val="nil"/>
            </w:tcBorders>
            <w:shd w:val="clear" w:color="auto" w:fill="auto"/>
            <w:noWrap/>
            <w:vAlign w:val="bottom"/>
            <w:hideMark/>
          </w:tcPr>
          <w:p w14:paraId="7FB52306"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630D86E7"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18FD3126" w14:textId="77777777" w:rsidR="00C0139E" w:rsidRPr="00C0139E" w:rsidRDefault="00C0139E" w:rsidP="00C0139E">
            <w:pPr>
              <w:rPr>
                <w:rFonts w:ascii="Times New Roman" w:eastAsia="Times New Roman" w:hAnsi="Times New Roman" w:cs="Times New Roman"/>
                <w:sz w:val="20"/>
                <w:szCs w:val="20"/>
                <w:lang w:eastAsia="en-GB"/>
              </w:rPr>
            </w:pPr>
          </w:p>
        </w:tc>
      </w:tr>
      <w:tr w:rsidR="00C0139E" w:rsidRPr="00C0139E" w14:paraId="1D7C5CAB" w14:textId="77777777" w:rsidTr="00C0139E">
        <w:trPr>
          <w:trHeight w:val="300"/>
        </w:trPr>
        <w:tc>
          <w:tcPr>
            <w:tcW w:w="3942" w:type="dxa"/>
            <w:tcBorders>
              <w:top w:val="nil"/>
              <w:left w:val="nil"/>
              <w:bottom w:val="nil"/>
              <w:right w:val="nil"/>
            </w:tcBorders>
            <w:shd w:val="clear" w:color="auto" w:fill="auto"/>
            <w:noWrap/>
            <w:vAlign w:val="bottom"/>
            <w:hideMark/>
          </w:tcPr>
          <w:p w14:paraId="49044B93"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(8) Total excise % of price</w:t>
            </w:r>
          </w:p>
        </w:tc>
        <w:tc>
          <w:tcPr>
            <w:tcW w:w="880" w:type="dxa"/>
            <w:tcBorders>
              <w:top w:val="nil"/>
              <w:left w:val="nil"/>
              <w:bottom w:val="nil"/>
              <w:right w:val="nil"/>
            </w:tcBorders>
            <w:shd w:val="clear" w:color="auto" w:fill="auto"/>
            <w:noWrap/>
            <w:vAlign w:val="bottom"/>
            <w:hideMark/>
          </w:tcPr>
          <w:p w14:paraId="44D42736"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(7) / (2)</w:t>
            </w:r>
          </w:p>
        </w:tc>
        <w:tc>
          <w:tcPr>
            <w:tcW w:w="832" w:type="dxa"/>
            <w:tcBorders>
              <w:top w:val="nil"/>
              <w:left w:val="nil"/>
              <w:bottom w:val="nil"/>
              <w:right w:val="nil"/>
            </w:tcBorders>
            <w:shd w:val="clear" w:color="auto" w:fill="auto"/>
            <w:noWrap/>
            <w:vAlign w:val="bottom"/>
            <w:hideMark/>
          </w:tcPr>
          <w:p w14:paraId="19F1102C"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59.45%</w:t>
            </w:r>
          </w:p>
        </w:tc>
        <w:tc>
          <w:tcPr>
            <w:tcW w:w="3420" w:type="dxa"/>
            <w:tcBorders>
              <w:top w:val="nil"/>
              <w:left w:val="nil"/>
              <w:bottom w:val="nil"/>
              <w:right w:val="nil"/>
            </w:tcBorders>
            <w:shd w:val="clear" w:color="auto" w:fill="auto"/>
            <w:noWrap/>
            <w:vAlign w:val="bottom"/>
            <w:hideMark/>
          </w:tcPr>
          <w:p w14:paraId="50061B6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(8) Total excise % of price</w:t>
            </w:r>
          </w:p>
        </w:tc>
        <w:tc>
          <w:tcPr>
            <w:tcW w:w="880" w:type="dxa"/>
            <w:tcBorders>
              <w:top w:val="nil"/>
              <w:left w:val="nil"/>
              <w:bottom w:val="nil"/>
              <w:right w:val="nil"/>
            </w:tcBorders>
            <w:shd w:val="clear" w:color="auto" w:fill="auto"/>
            <w:noWrap/>
            <w:vAlign w:val="bottom"/>
            <w:hideMark/>
          </w:tcPr>
          <w:p w14:paraId="15556FA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 / (4)</w:t>
            </w:r>
          </w:p>
        </w:tc>
        <w:tc>
          <w:tcPr>
            <w:tcW w:w="832" w:type="dxa"/>
            <w:tcBorders>
              <w:top w:val="nil"/>
              <w:left w:val="nil"/>
              <w:bottom w:val="nil"/>
              <w:right w:val="nil"/>
            </w:tcBorders>
            <w:shd w:val="clear" w:color="auto" w:fill="auto"/>
            <w:noWrap/>
            <w:vAlign w:val="bottom"/>
            <w:hideMark/>
          </w:tcPr>
          <w:p w14:paraId="09A9D0A3"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48.98%</w:t>
            </w:r>
          </w:p>
        </w:tc>
        <w:tc>
          <w:tcPr>
            <w:tcW w:w="1255" w:type="dxa"/>
            <w:tcBorders>
              <w:top w:val="nil"/>
              <w:left w:val="nil"/>
              <w:bottom w:val="nil"/>
              <w:right w:val="nil"/>
            </w:tcBorders>
            <w:shd w:val="clear" w:color="auto" w:fill="auto"/>
            <w:noWrap/>
            <w:vAlign w:val="bottom"/>
            <w:hideMark/>
          </w:tcPr>
          <w:p w14:paraId="52B5A4B4"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0DB9E71D" w14:textId="77777777" w:rsidTr="00C0139E">
        <w:trPr>
          <w:trHeight w:val="300"/>
        </w:trPr>
        <w:tc>
          <w:tcPr>
            <w:tcW w:w="3942" w:type="dxa"/>
            <w:tcBorders>
              <w:top w:val="nil"/>
              <w:left w:val="nil"/>
              <w:bottom w:val="nil"/>
              <w:right w:val="nil"/>
            </w:tcBorders>
            <w:shd w:val="clear" w:color="auto" w:fill="auto"/>
            <w:noWrap/>
            <w:vAlign w:val="bottom"/>
            <w:hideMark/>
          </w:tcPr>
          <w:p w14:paraId="46FBC657"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 xml:space="preserve">(9) Total legal cigarette </w:t>
            </w:r>
            <w:proofErr w:type="gramStart"/>
            <w:r w:rsidRPr="00C0139E">
              <w:rPr>
                <w:rFonts w:ascii="Calibri" w:eastAsia="Times New Roman" w:hAnsi="Calibri" w:cs="Calibri"/>
                <w:color w:val="000000"/>
                <w:sz w:val="22"/>
                <w:szCs w:val="22"/>
                <w:lang w:eastAsia="en-GB"/>
              </w:rPr>
              <w:t>spend</w:t>
            </w:r>
            <w:proofErr w:type="gramEnd"/>
            <w:r w:rsidRPr="00C0139E">
              <w:rPr>
                <w:rFonts w:ascii="Calibri" w:eastAsia="Times New Roman" w:hAnsi="Calibri" w:cs="Calibri"/>
                <w:color w:val="000000"/>
                <w:sz w:val="22"/>
                <w:szCs w:val="22"/>
                <w:lang w:eastAsia="en-GB"/>
              </w:rPr>
              <w:t xml:space="preserve"> (£m)</w:t>
            </w:r>
          </w:p>
        </w:tc>
        <w:tc>
          <w:tcPr>
            <w:tcW w:w="880" w:type="dxa"/>
            <w:tcBorders>
              <w:top w:val="nil"/>
              <w:left w:val="nil"/>
              <w:bottom w:val="nil"/>
              <w:right w:val="nil"/>
            </w:tcBorders>
            <w:shd w:val="clear" w:color="auto" w:fill="auto"/>
            <w:noWrap/>
            <w:vAlign w:val="bottom"/>
            <w:hideMark/>
          </w:tcPr>
          <w:p w14:paraId="43F4D69D"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 (8)</w:t>
            </w:r>
          </w:p>
        </w:tc>
        <w:tc>
          <w:tcPr>
            <w:tcW w:w="832" w:type="dxa"/>
            <w:tcBorders>
              <w:top w:val="nil"/>
              <w:left w:val="nil"/>
              <w:bottom w:val="nil"/>
              <w:right w:val="nil"/>
            </w:tcBorders>
            <w:shd w:val="clear" w:color="000000" w:fill="FFFF00"/>
            <w:noWrap/>
            <w:vAlign w:val="bottom"/>
            <w:hideMark/>
          </w:tcPr>
          <w:p w14:paraId="22DA2B2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10719</w:t>
            </w:r>
          </w:p>
        </w:tc>
        <w:tc>
          <w:tcPr>
            <w:tcW w:w="3420" w:type="dxa"/>
            <w:tcBorders>
              <w:top w:val="nil"/>
              <w:left w:val="nil"/>
              <w:bottom w:val="nil"/>
              <w:right w:val="nil"/>
            </w:tcBorders>
            <w:shd w:val="clear" w:color="auto" w:fill="auto"/>
            <w:noWrap/>
            <w:vAlign w:val="bottom"/>
            <w:hideMark/>
          </w:tcPr>
          <w:p w14:paraId="26B6B3D7"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(9) Total legal HRT spend (£m)</w:t>
            </w:r>
          </w:p>
        </w:tc>
        <w:tc>
          <w:tcPr>
            <w:tcW w:w="880" w:type="dxa"/>
            <w:tcBorders>
              <w:top w:val="nil"/>
              <w:left w:val="nil"/>
              <w:bottom w:val="nil"/>
              <w:right w:val="nil"/>
            </w:tcBorders>
            <w:shd w:val="clear" w:color="auto" w:fill="auto"/>
            <w:noWrap/>
            <w:vAlign w:val="bottom"/>
            <w:hideMark/>
          </w:tcPr>
          <w:p w14:paraId="4A1E00D1"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 (8)</w:t>
            </w:r>
          </w:p>
        </w:tc>
        <w:tc>
          <w:tcPr>
            <w:tcW w:w="832" w:type="dxa"/>
            <w:tcBorders>
              <w:top w:val="nil"/>
              <w:left w:val="nil"/>
              <w:bottom w:val="nil"/>
              <w:right w:val="nil"/>
            </w:tcBorders>
            <w:shd w:val="clear" w:color="000000" w:fill="FFFF00"/>
            <w:noWrap/>
            <w:vAlign w:val="bottom"/>
            <w:hideMark/>
          </w:tcPr>
          <w:p w14:paraId="7C12373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2425</w:t>
            </w:r>
          </w:p>
        </w:tc>
        <w:tc>
          <w:tcPr>
            <w:tcW w:w="1255" w:type="dxa"/>
            <w:tcBorders>
              <w:top w:val="nil"/>
              <w:left w:val="nil"/>
              <w:bottom w:val="nil"/>
              <w:right w:val="nil"/>
            </w:tcBorders>
            <w:shd w:val="clear" w:color="auto" w:fill="auto"/>
            <w:noWrap/>
            <w:vAlign w:val="bottom"/>
            <w:hideMark/>
          </w:tcPr>
          <w:p w14:paraId="61DD9C16"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1E0F61F8" w14:textId="77777777" w:rsidTr="00C0139E">
        <w:trPr>
          <w:trHeight w:val="300"/>
        </w:trPr>
        <w:tc>
          <w:tcPr>
            <w:tcW w:w="3942" w:type="dxa"/>
            <w:tcBorders>
              <w:top w:val="nil"/>
              <w:left w:val="nil"/>
              <w:bottom w:val="nil"/>
              <w:right w:val="nil"/>
            </w:tcBorders>
            <w:shd w:val="clear" w:color="auto" w:fill="auto"/>
            <w:noWrap/>
            <w:vAlign w:val="bottom"/>
            <w:hideMark/>
          </w:tcPr>
          <w:p w14:paraId="2FE40553"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 xml:space="preserve">(10) Total illicit cigarette </w:t>
            </w:r>
            <w:proofErr w:type="gramStart"/>
            <w:r w:rsidRPr="00C0139E">
              <w:rPr>
                <w:rFonts w:ascii="Calibri" w:eastAsia="Times New Roman" w:hAnsi="Calibri" w:cs="Calibri"/>
                <w:color w:val="000000"/>
                <w:sz w:val="22"/>
                <w:szCs w:val="22"/>
                <w:lang w:eastAsia="en-GB"/>
              </w:rPr>
              <w:t>spend</w:t>
            </w:r>
            <w:proofErr w:type="gramEnd"/>
            <w:r w:rsidRPr="00C0139E">
              <w:rPr>
                <w:rFonts w:ascii="Calibri" w:eastAsia="Times New Roman" w:hAnsi="Calibri" w:cs="Calibri"/>
                <w:color w:val="000000"/>
                <w:sz w:val="22"/>
                <w:szCs w:val="22"/>
                <w:lang w:eastAsia="en-GB"/>
              </w:rPr>
              <w:t xml:space="preserve"> (£m)</w:t>
            </w:r>
          </w:p>
        </w:tc>
        <w:tc>
          <w:tcPr>
            <w:tcW w:w="880" w:type="dxa"/>
            <w:tcBorders>
              <w:top w:val="nil"/>
              <w:left w:val="nil"/>
              <w:bottom w:val="nil"/>
              <w:right w:val="nil"/>
            </w:tcBorders>
            <w:shd w:val="clear" w:color="auto" w:fill="auto"/>
            <w:noWrap/>
            <w:vAlign w:val="bottom"/>
            <w:hideMark/>
          </w:tcPr>
          <w:p w14:paraId="59AD070F"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FFFF00"/>
            <w:noWrap/>
            <w:vAlign w:val="bottom"/>
            <w:hideMark/>
          </w:tcPr>
          <w:p w14:paraId="5DF4B658"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994</w:t>
            </w:r>
          </w:p>
        </w:tc>
        <w:tc>
          <w:tcPr>
            <w:tcW w:w="3420" w:type="dxa"/>
            <w:tcBorders>
              <w:top w:val="nil"/>
              <w:left w:val="nil"/>
              <w:bottom w:val="nil"/>
              <w:right w:val="nil"/>
            </w:tcBorders>
            <w:shd w:val="clear" w:color="auto" w:fill="auto"/>
            <w:noWrap/>
            <w:vAlign w:val="bottom"/>
            <w:hideMark/>
          </w:tcPr>
          <w:p w14:paraId="10043D6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(10) Total illicit HRT spend (£m)</w:t>
            </w:r>
          </w:p>
        </w:tc>
        <w:tc>
          <w:tcPr>
            <w:tcW w:w="880" w:type="dxa"/>
            <w:tcBorders>
              <w:top w:val="nil"/>
              <w:left w:val="nil"/>
              <w:bottom w:val="nil"/>
              <w:right w:val="nil"/>
            </w:tcBorders>
            <w:shd w:val="clear" w:color="auto" w:fill="auto"/>
            <w:noWrap/>
            <w:vAlign w:val="bottom"/>
            <w:hideMark/>
          </w:tcPr>
          <w:p w14:paraId="0DB3DCA1"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FFFF00"/>
            <w:noWrap/>
            <w:vAlign w:val="bottom"/>
            <w:hideMark/>
          </w:tcPr>
          <w:p w14:paraId="4823C1E9"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507</w:t>
            </w:r>
          </w:p>
        </w:tc>
        <w:tc>
          <w:tcPr>
            <w:tcW w:w="1255" w:type="dxa"/>
            <w:tcBorders>
              <w:top w:val="nil"/>
              <w:left w:val="nil"/>
              <w:bottom w:val="nil"/>
              <w:right w:val="nil"/>
            </w:tcBorders>
            <w:shd w:val="clear" w:color="auto" w:fill="auto"/>
            <w:noWrap/>
            <w:vAlign w:val="bottom"/>
            <w:hideMark/>
          </w:tcPr>
          <w:p w14:paraId="1ED2F50B"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6CB5963F" w14:textId="77777777" w:rsidTr="00C0139E">
        <w:trPr>
          <w:trHeight w:val="300"/>
        </w:trPr>
        <w:tc>
          <w:tcPr>
            <w:tcW w:w="3942" w:type="dxa"/>
            <w:tcBorders>
              <w:top w:val="nil"/>
              <w:left w:val="nil"/>
              <w:bottom w:val="nil"/>
              <w:right w:val="nil"/>
            </w:tcBorders>
            <w:shd w:val="clear" w:color="auto" w:fill="auto"/>
            <w:noWrap/>
            <w:vAlign w:val="bottom"/>
            <w:hideMark/>
          </w:tcPr>
          <w:p w14:paraId="4F2E18B2"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367647F2"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72B2DC3D" w14:textId="77777777" w:rsidR="00C0139E" w:rsidRPr="00C0139E" w:rsidRDefault="00C0139E" w:rsidP="00C0139E">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52B7FB62"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7733B5BD"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15D01D62"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000000" w:fill="FFFF00"/>
            <w:noWrap/>
            <w:vAlign w:val="bottom"/>
            <w:hideMark/>
          </w:tcPr>
          <w:p w14:paraId="6C03E6AE"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14,645</w:t>
            </w:r>
          </w:p>
        </w:tc>
      </w:tr>
      <w:tr w:rsidR="00C0139E" w:rsidRPr="00C0139E" w14:paraId="19BBA936" w14:textId="77777777" w:rsidTr="00C0139E">
        <w:trPr>
          <w:trHeight w:val="300"/>
        </w:trPr>
        <w:tc>
          <w:tcPr>
            <w:tcW w:w="12041" w:type="dxa"/>
            <w:gridSpan w:val="7"/>
            <w:tcBorders>
              <w:top w:val="nil"/>
              <w:left w:val="nil"/>
              <w:bottom w:val="nil"/>
              <w:right w:val="nil"/>
            </w:tcBorders>
            <w:shd w:val="clear" w:color="000000" w:fill="A9D08E"/>
            <w:noWrap/>
            <w:vAlign w:val="bottom"/>
            <w:hideMark/>
          </w:tcPr>
          <w:p w14:paraId="0D51E49A"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Survey data estimate</w:t>
            </w:r>
          </w:p>
        </w:tc>
      </w:tr>
      <w:tr w:rsidR="00C0139E" w:rsidRPr="00C0139E" w14:paraId="0AC81E5A" w14:textId="77777777" w:rsidTr="00C0139E">
        <w:trPr>
          <w:trHeight w:val="300"/>
        </w:trPr>
        <w:tc>
          <w:tcPr>
            <w:tcW w:w="3942" w:type="dxa"/>
            <w:tcBorders>
              <w:top w:val="nil"/>
              <w:left w:val="nil"/>
              <w:bottom w:val="nil"/>
              <w:right w:val="nil"/>
            </w:tcBorders>
            <w:shd w:val="clear" w:color="auto" w:fill="auto"/>
            <w:noWrap/>
            <w:vAlign w:val="bottom"/>
            <w:hideMark/>
          </w:tcPr>
          <w:p w14:paraId="4F57381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Total grossed-up expenditure</w:t>
            </w:r>
          </w:p>
        </w:tc>
        <w:tc>
          <w:tcPr>
            <w:tcW w:w="880" w:type="dxa"/>
            <w:tcBorders>
              <w:top w:val="nil"/>
              <w:left w:val="nil"/>
              <w:bottom w:val="nil"/>
              <w:right w:val="nil"/>
            </w:tcBorders>
            <w:shd w:val="clear" w:color="auto" w:fill="auto"/>
            <w:noWrap/>
            <w:vAlign w:val="bottom"/>
            <w:hideMark/>
          </w:tcPr>
          <w:p w14:paraId="60106C8D"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auto" w:fill="auto"/>
            <w:noWrap/>
            <w:vAlign w:val="bottom"/>
            <w:hideMark/>
          </w:tcPr>
          <w:p w14:paraId="71214A04" w14:textId="77777777" w:rsidR="00C0139E" w:rsidRPr="00C0139E" w:rsidRDefault="00C0139E" w:rsidP="00C0139E">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252171C4"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0F163EDA"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6375F215"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000000" w:fill="FFFF00"/>
            <w:noWrap/>
            <w:vAlign w:val="bottom"/>
            <w:hideMark/>
          </w:tcPr>
          <w:p w14:paraId="3ED4F502"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7,591</w:t>
            </w:r>
          </w:p>
        </w:tc>
      </w:tr>
      <w:tr w:rsidR="00C0139E" w:rsidRPr="00C0139E" w14:paraId="39B56CDA" w14:textId="77777777" w:rsidTr="00C0139E">
        <w:trPr>
          <w:trHeight w:val="300"/>
        </w:trPr>
        <w:tc>
          <w:tcPr>
            <w:tcW w:w="3942" w:type="dxa"/>
            <w:tcBorders>
              <w:top w:val="nil"/>
              <w:left w:val="nil"/>
              <w:bottom w:val="nil"/>
              <w:right w:val="nil"/>
            </w:tcBorders>
            <w:shd w:val="clear" w:color="auto" w:fill="auto"/>
            <w:noWrap/>
            <w:vAlign w:val="bottom"/>
            <w:hideMark/>
          </w:tcPr>
          <w:p w14:paraId="3A412741" w14:textId="77777777" w:rsidR="00C0139E" w:rsidRPr="00C0139E" w:rsidRDefault="00C0139E" w:rsidP="00C0139E">
            <w:pPr>
              <w:rPr>
                <w:rFonts w:ascii="Calibri" w:eastAsia="Times New Roman" w:hAnsi="Calibri" w:cs="Calibri"/>
                <w:color w:val="000000"/>
                <w:sz w:val="22"/>
                <w:szCs w:val="22"/>
                <w:lang w:eastAsia="en-GB"/>
              </w:rPr>
            </w:pPr>
            <w:proofErr w:type="gramStart"/>
            <w:r w:rsidRPr="00C0139E">
              <w:rPr>
                <w:rFonts w:ascii="Calibri" w:eastAsia="Times New Roman" w:hAnsi="Calibri" w:cs="Calibri"/>
                <w:color w:val="000000"/>
                <w:sz w:val="22"/>
                <w:szCs w:val="22"/>
                <w:lang w:eastAsia="en-GB"/>
              </w:rPr>
              <w:t>Dataset :</w:t>
            </w:r>
            <w:proofErr w:type="gramEnd"/>
          </w:p>
        </w:tc>
        <w:tc>
          <w:tcPr>
            <w:tcW w:w="880" w:type="dxa"/>
            <w:tcBorders>
              <w:top w:val="nil"/>
              <w:left w:val="nil"/>
              <w:bottom w:val="nil"/>
              <w:right w:val="nil"/>
            </w:tcBorders>
            <w:shd w:val="clear" w:color="auto" w:fill="auto"/>
            <w:noWrap/>
            <w:vAlign w:val="bottom"/>
            <w:hideMark/>
          </w:tcPr>
          <w:p w14:paraId="708BCA2B"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Toolkit</w:t>
            </w:r>
          </w:p>
        </w:tc>
        <w:tc>
          <w:tcPr>
            <w:tcW w:w="832" w:type="dxa"/>
            <w:tcBorders>
              <w:top w:val="nil"/>
              <w:left w:val="nil"/>
              <w:bottom w:val="nil"/>
              <w:right w:val="nil"/>
            </w:tcBorders>
            <w:shd w:val="clear" w:color="auto" w:fill="auto"/>
            <w:noWrap/>
            <w:vAlign w:val="bottom"/>
            <w:hideMark/>
          </w:tcPr>
          <w:p w14:paraId="3DD7C07E" w14:textId="77777777" w:rsidR="00C0139E" w:rsidRPr="00C0139E" w:rsidRDefault="00C0139E" w:rsidP="00C0139E">
            <w:pPr>
              <w:rPr>
                <w:rFonts w:ascii="Calibri" w:eastAsia="Times New Roman" w:hAnsi="Calibri" w:cs="Calibri"/>
                <w:color w:val="000000"/>
                <w:sz w:val="22"/>
                <w:szCs w:val="22"/>
                <w:lang w:eastAsia="en-GB"/>
              </w:rPr>
            </w:pPr>
          </w:p>
        </w:tc>
        <w:tc>
          <w:tcPr>
            <w:tcW w:w="3420" w:type="dxa"/>
            <w:tcBorders>
              <w:top w:val="nil"/>
              <w:left w:val="nil"/>
              <w:bottom w:val="nil"/>
              <w:right w:val="nil"/>
            </w:tcBorders>
            <w:shd w:val="clear" w:color="auto" w:fill="auto"/>
            <w:noWrap/>
            <w:vAlign w:val="bottom"/>
            <w:hideMark/>
          </w:tcPr>
          <w:p w14:paraId="190078C5"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4225CC9F"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3F27CC4C"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74D565F5" w14:textId="77777777" w:rsidR="00C0139E" w:rsidRPr="00C0139E" w:rsidRDefault="00C0139E" w:rsidP="00C0139E">
            <w:pPr>
              <w:rPr>
                <w:rFonts w:ascii="Times New Roman" w:eastAsia="Times New Roman" w:hAnsi="Times New Roman" w:cs="Times New Roman"/>
                <w:sz w:val="20"/>
                <w:szCs w:val="20"/>
                <w:lang w:eastAsia="en-GB"/>
              </w:rPr>
            </w:pPr>
          </w:p>
        </w:tc>
      </w:tr>
      <w:tr w:rsidR="00C0139E" w:rsidRPr="00C0139E" w14:paraId="546392FB" w14:textId="77777777" w:rsidTr="00C0139E">
        <w:trPr>
          <w:trHeight w:val="300"/>
        </w:trPr>
        <w:tc>
          <w:tcPr>
            <w:tcW w:w="3942" w:type="dxa"/>
            <w:tcBorders>
              <w:top w:val="nil"/>
              <w:left w:val="nil"/>
              <w:bottom w:val="nil"/>
              <w:right w:val="nil"/>
            </w:tcBorders>
            <w:shd w:val="clear" w:color="auto" w:fill="auto"/>
            <w:noWrap/>
            <w:vAlign w:val="bottom"/>
            <w:hideMark/>
          </w:tcPr>
          <w:p w14:paraId="001DC2FD"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10CE0495"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4A928319" w14:textId="77777777" w:rsidR="00C0139E" w:rsidRPr="00C0139E" w:rsidRDefault="00C0139E" w:rsidP="00C0139E">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71BC3C6A"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5D6694DC"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43699A8E"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455B233C" w14:textId="77777777" w:rsidR="00C0139E" w:rsidRPr="00C0139E" w:rsidRDefault="00C0139E" w:rsidP="00C0139E">
            <w:pPr>
              <w:rPr>
                <w:rFonts w:ascii="Times New Roman" w:eastAsia="Times New Roman" w:hAnsi="Times New Roman" w:cs="Times New Roman"/>
                <w:sz w:val="20"/>
                <w:szCs w:val="20"/>
                <w:lang w:eastAsia="en-GB"/>
              </w:rPr>
            </w:pPr>
          </w:p>
        </w:tc>
      </w:tr>
      <w:tr w:rsidR="00C0139E" w:rsidRPr="00C0139E" w14:paraId="5D2A8981" w14:textId="77777777" w:rsidTr="00C0139E">
        <w:trPr>
          <w:trHeight w:val="300"/>
        </w:trPr>
        <w:tc>
          <w:tcPr>
            <w:tcW w:w="3942" w:type="dxa"/>
            <w:tcBorders>
              <w:top w:val="nil"/>
              <w:left w:val="nil"/>
              <w:bottom w:val="nil"/>
              <w:right w:val="nil"/>
            </w:tcBorders>
            <w:shd w:val="clear" w:color="000000" w:fill="B4C6E7"/>
            <w:noWrap/>
            <w:vAlign w:val="bottom"/>
            <w:hideMark/>
          </w:tcPr>
          <w:p w14:paraId="0B0A8D6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Upshift Factor:</w:t>
            </w:r>
          </w:p>
        </w:tc>
        <w:tc>
          <w:tcPr>
            <w:tcW w:w="880" w:type="dxa"/>
            <w:tcBorders>
              <w:top w:val="nil"/>
              <w:left w:val="nil"/>
              <w:bottom w:val="nil"/>
              <w:right w:val="nil"/>
            </w:tcBorders>
            <w:shd w:val="clear" w:color="000000" w:fill="B4C6E7"/>
            <w:noWrap/>
            <w:vAlign w:val="bottom"/>
            <w:hideMark/>
          </w:tcPr>
          <w:p w14:paraId="2EDEDF84"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1.929</w:t>
            </w:r>
          </w:p>
        </w:tc>
        <w:tc>
          <w:tcPr>
            <w:tcW w:w="832" w:type="dxa"/>
            <w:tcBorders>
              <w:top w:val="nil"/>
              <w:left w:val="nil"/>
              <w:bottom w:val="nil"/>
              <w:right w:val="nil"/>
            </w:tcBorders>
            <w:shd w:val="clear" w:color="auto" w:fill="auto"/>
            <w:noWrap/>
            <w:vAlign w:val="bottom"/>
            <w:hideMark/>
          </w:tcPr>
          <w:p w14:paraId="3731888C" w14:textId="77777777" w:rsidR="00C0139E" w:rsidRPr="00C0139E" w:rsidRDefault="00C0139E" w:rsidP="00C0139E">
            <w:pPr>
              <w:jc w:val="right"/>
              <w:rPr>
                <w:rFonts w:ascii="Calibri" w:eastAsia="Times New Roman" w:hAnsi="Calibri" w:cs="Calibri"/>
                <w:color w:val="000000"/>
                <w:sz w:val="22"/>
                <w:szCs w:val="22"/>
                <w:lang w:eastAsia="en-GB"/>
              </w:rPr>
            </w:pPr>
          </w:p>
        </w:tc>
        <w:tc>
          <w:tcPr>
            <w:tcW w:w="3420" w:type="dxa"/>
            <w:tcBorders>
              <w:top w:val="nil"/>
              <w:left w:val="nil"/>
              <w:bottom w:val="nil"/>
              <w:right w:val="nil"/>
            </w:tcBorders>
            <w:shd w:val="clear" w:color="auto" w:fill="auto"/>
            <w:noWrap/>
            <w:vAlign w:val="bottom"/>
            <w:hideMark/>
          </w:tcPr>
          <w:p w14:paraId="0250222E"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573BDE7B"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2ED2EF20"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6D2C7251" w14:textId="77777777" w:rsidR="00C0139E" w:rsidRPr="00C0139E" w:rsidRDefault="00C0139E" w:rsidP="00C0139E">
            <w:pPr>
              <w:rPr>
                <w:rFonts w:ascii="Times New Roman" w:eastAsia="Times New Roman" w:hAnsi="Times New Roman" w:cs="Times New Roman"/>
                <w:sz w:val="20"/>
                <w:szCs w:val="20"/>
                <w:lang w:eastAsia="en-GB"/>
              </w:rPr>
            </w:pPr>
          </w:p>
        </w:tc>
      </w:tr>
    </w:tbl>
    <w:p w14:paraId="49772D10" w14:textId="63DEDC00" w:rsidR="00C0139E" w:rsidRDefault="00C0139E" w:rsidP="00391EBD">
      <w:pPr>
        <w:rPr>
          <w:b/>
          <w:bCs/>
        </w:rPr>
        <w:sectPr w:rsidR="00C0139E" w:rsidSect="00A413F0">
          <w:pgSz w:w="16838" w:h="11906" w:orient="landscape"/>
          <w:pgMar w:top="1440" w:right="1440" w:bottom="1440" w:left="1440" w:header="709" w:footer="709" w:gutter="0"/>
          <w:cols w:space="708"/>
          <w:docGrid w:linePitch="360"/>
        </w:sectPr>
      </w:pPr>
    </w:p>
    <w:p w14:paraId="6411A4B4" w14:textId="23183954" w:rsidR="005475B4" w:rsidRDefault="005475B4" w:rsidP="00391EBD">
      <w:pPr>
        <w:rPr>
          <w:b/>
          <w:bCs/>
        </w:rPr>
      </w:pPr>
    </w:p>
    <w:p w14:paraId="597BC123" w14:textId="161567D7" w:rsidR="00391EBD" w:rsidRPr="00391EBD" w:rsidRDefault="00391EBD" w:rsidP="00391EBD">
      <w:pPr>
        <w:rPr>
          <w:rStyle w:val="Hyperlink"/>
          <w:b/>
          <w:bCs/>
          <w:color w:val="auto"/>
          <w:u w:val="none"/>
        </w:rPr>
      </w:pPr>
      <w:r>
        <w:rPr>
          <w:b/>
          <w:bCs/>
        </w:rPr>
        <w:t>Figure 1) Distribution of Weekly Spending on Tobacco</w:t>
      </w:r>
    </w:p>
    <w:p w14:paraId="4133E001" w14:textId="0A84B979" w:rsidR="00391EBD" w:rsidRDefault="00391EBD" w:rsidP="0012122C">
      <w:pPr>
        <w:jc w:val="both"/>
        <w:rPr>
          <w:rStyle w:val="Hyperlink"/>
        </w:rPr>
      </w:pPr>
    </w:p>
    <w:p w14:paraId="7BF6B067" w14:textId="19681A91" w:rsidR="00391EBD" w:rsidRDefault="00391EBD" w:rsidP="0012122C">
      <w:pPr>
        <w:jc w:val="both"/>
        <w:rPr>
          <w:b/>
          <w:bCs/>
        </w:rPr>
      </w:pPr>
      <w:r>
        <w:rPr>
          <w:noProof/>
        </w:rPr>
        <w:drawing>
          <wp:inline distT="0" distB="0" distL="0" distR="0" wp14:anchorId="0FFD5AE2" wp14:editId="7B426771">
            <wp:extent cx="5731510" cy="4690745"/>
            <wp:effectExtent l="0" t="0" r="254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690745"/>
                    </a:xfrm>
                    <a:prstGeom prst="rect">
                      <a:avLst/>
                    </a:prstGeom>
                    <a:noFill/>
                    <a:ln>
                      <a:noFill/>
                    </a:ln>
                  </pic:spPr>
                </pic:pic>
              </a:graphicData>
            </a:graphic>
          </wp:inline>
        </w:drawing>
      </w:r>
    </w:p>
    <w:p w14:paraId="49CFFAC0" w14:textId="4AD37BEE" w:rsidR="008F4DD1" w:rsidRDefault="008F4DD1" w:rsidP="0012122C">
      <w:pPr>
        <w:jc w:val="both"/>
        <w:rPr>
          <w:b/>
          <w:bCs/>
        </w:rPr>
      </w:pPr>
    </w:p>
    <w:p w14:paraId="2E462DAF" w14:textId="55534C58" w:rsidR="008F4DD1" w:rsidRDefault="008F4DD1" w:rsidP="0012122C">
      <w:pPr>
        <w:jc w:val="both"/>
        <w:rPr>
          <w:b/>
          <w:bCs/>
        </w:rPr>
      </w:pPr>
    </w:p>
    <w:p w14:paraId="77A4A787" w14:textId="02BBE4E7" w:rsidR="008F4DD1" w:rsidRDefault="008F4DD1" w:rsidP="0012122C">
      <w:pPr>
        <w:jc w:val="both"/>
        <w:rPr>
          <w:b/>
          <w:bCs/>
        </w:rPr>
      </w:pPr>
    </w:p>
    <w:p w14:paraId="7D4912F5" w14:textId="7769452D" w:rsidR="008F4DD1" w:rsidRDefault="008F4DD1" w:rsidP="0012122C">
      <w:pPr>
        <w:jc w:val="both"/>
        <w:rPr>
          <w:b/>
          <w:bCs/>
        </w:rPr>
      </w:pPr>
    </w:p>
    <w:p w14:paraId="1C8FD027" w14:textId="543124EF" w:rsidR="008F4DD1" w:rsidRDefault="008F4DD1" w:rsidP="0012122C">
      <w:pPr>
        <w:jc w:val="both"/>
        <w:rPr>
          <w:b/>
          <w:bCs/>
        </w:rPr>
      </w:pPr>
    </w:p>
    <w:p w14:paraId="7C62CA93" w14:textId="75025CDD" w:rsidR="008F4DD1" w:rsidRDefault="008F4DD1" w:rsidP="0012122C">
      <w:pPr>
        <w:jc w:val="both"/>
        <w:rPr>
          <w:b/>
          <w:bCs/>
        </w:rPr>
      </w:pPr>
    </w:p>
    <w:p w14:paraId="76B1870A" w14:textId="1396751C" w:rsidR="008F4DD1" w:rsidRDefault="008F4DD1" w:rsidP="0012122C">
      <w:pPr>
        <w:jc w:val="both"/>
        <w:rPr>
          <w:b/>
          <w:bCs/>
        </w:rPr>
      </w:pPr>
    </w:p>
    <w:p w14:paraId="0E176AFF" w14:textId="3370787A" w:rsidR="008F4DD1" w:rsidRDefault="008F4DD1" w:rsidP="0012122C">
      <w:pPr>
        <w:jc w:val="both"/>
        <w:rPr>
          <w:b/>
          <w:bCs/>
        </w:rPr>
      </w:pPr>
    </w:p>
    <w:p w14:paraId="7CCAB0DD" w14:textId="06F0189B" w:rsidR="008F4DD1" w:rsidRDefault="008F4DD1" w:rsidP="0012122C">
      <w:pPr>
        <w:jc w:val="both"/>
        <w:rPr>
          <w:b/>
          <w:bCs/>
        </w:rPr>
      </w:pPr>
    </w:p>
    <w:p w14:paraId="43ECB1C6" w14:textId="6A6CCCFF" w:rsidR="008F4DD1" w:rsidRDefault="008F4DD1" w:rsidP="0012122C">
      <w:pPr>
        <w:jc w:val="both"/>
        <w:rPr>
          <w:b/>
          <w:bCs/>
        </w:rPr>
      </w:pPr>
    </w:p>
    <w:p w14:paraId="6B014B32" w14:textId="2BAEA0F8" w:rsidR="008F4DD1" w:rsidRDefault="008F4DD1" w:rsidP="0012122C">
      <w:pPr>
        <w:jc w:val="both"/>
        <w:rPr>
          <w:b/>
          <w:bCs/>
        </w:rPr>
      </w:pPr>
    </w:p>
    <w:p w14:paraId="656221D5" w14:textId="00B8DD1F" w:rsidR="008F4DD1" w:rsidRDefault="008F4DD1" w:rsidP="0012122C">
      <w:pPr>
        <w:jc w:val="both"/>
        <w:rPr>
          <w:b/>
          <w:bCs/>
        </w:rPr>
      </w:pPr>
    </w:p>
    <w:p w14:paraId="4F07A196" w14:textId="72CEE197" w:rsidR="008F4DD1" w:rsidRDefault="008F4DD1" w:rsidP="0012122C">
      <w:pPr>
        <w:jc w:val="both"/>
        <w:rPr>
          <w:b/>
          <w:bCs/>
        </w:rPr>
      </w:pPr>
    </w:p>
    <w:p w14:paraId="05B14AF4" w14:textId="7D953819" w:rsidR="008F4DD1" w:rsidRDefault="008F4DD1" w:rsidP="0012122C">
      <w:pPr>
        <w:jc w:val="both"/>
        <w:rPr>
          <w:b/>
          <w:bCs/>
        </w:rPr>
      </w:pPr>
    </w:p>
    <w:p w14:paraId="6095FF88" w14:textId="7578E656" w:rsidR="008F4DD1" w:rsidRDefault="008F4DD1" w:rsidP="0012122C">
      <w:pPr>
        <w:jc w:val="both"/>
        <w:rPr>
          <w:b/>
          <w:bCs/>
        </w:rPr>
      </w:pPr>
    </w:p>
    <w:p w14:paraId="3A295A98" w14:textId="5F853BAE" w:rsidR="008F4DD1" w:rsidRDefault="008F4DD1" w:rsidP="0012122C">
      <w:pPr>
        <w:jc w:val="both"/>
        <w:rPr>
          <w:b/>
          <w:bCs/>
        </w:rPr>
      </w:pPr>
    </w:p>
    <w:p w14:paraId="154F6079" w14:textId="2134C8C4" w:rsidR="008F4DD1" w:rsidRDefault="008F4DD1" w:rsidP="0012122C">
      <w:pPr>
        <w:jc w:val="both"/>
        <w:rPr>
          <w:b/>
          <w:bCs/>
        </w:rPr>
      </w:pPr>
    </w:p>
    <w:p w14:paraId="0106D3A2" w14:textId="7DF1ABD0" w:rsidR="008F4DD1" w:rsidRDefault="008F4DD1" w:rsidP="0012122C">
      <w:pPr>
        <w:jc w:val="both"/>
        <w:rPr>
          <w:b/>
          <w:bCs/>
        </w:rPr>
      </w:pPr>
    </w:p>
    <w:p w14:paraId="3B595315" w14:textId="6CD5300E" w:rsidR="008F4DD1" w:rsidRDefault="008F4DD1" w:rsidP="0012122C">
      <w:pPr>
        <w:jc w:val="both"/>
        <w:rPr>
          <w:b/>
          <w:bCs/>
        </w:rPr>
      </w:pPr>
    </w:p>
    <w:p w14:paraId="49A18AB6" w14:textId="55534B3F" w:rsidR="008F4DD1" w:rsidRDefault="008F4DD1" w:rsidP="0012122C">
      <w:pPr>
        <w:jc w:val="both"/>
        <w:rPr>
          <w:b/>
          <w:bCs/>
        </w:rPr>
      </w:pPr>
    </w:p>
    <w:p w14:paraId="777A95A3" w14:textId="34CB81AE" w:rsidR="008F4DD1" w:rsidRDefault="008F4DD1" w:rsidP="0012122C">
      <w:pPr>
        <w:jc w:val="both"/>
        <w:rPr>
          <w:b/>
          <w:bCs/>
        </w:rPr>
      </w:pPr>
    </w:p>
    <w:p w14:paraId="7E3AC69A" w14:textId="2FE1EC58" w:rsidR="008F4DD1" w:rsidRDefault="008F4DD1" w:rsidP="0012122C">
      <w:pPr>
        <w:jc w:val="both"/>
        <w:rPr>
          <w:b/>
          <w:bCs/>
        </w:rPr>
      </w:pPr>
    </w:p>
    <w:p w14:paraId="0934C31D" w14:textId="482DEC87" w:rsidR="008F4DD1" w:rsidRDefault="008F4DD1" w:rsidP="0012122C">
      <w:pPr>
        <w:jc w:val="both"/>
        <w:rPr>
          <w:b/>
          <w:bCs/>
        </w:rPr>
      </w:pPr>
    </w:p>
    <w:p w14:paraId="24D7CB57" w14:textId="05A08959" w:rsidR="008F4DD1" w:rsidRDefault="008F4DD1" w:rsidP="0012122C">
      <w:pPr>
        <w:jc w:val="both"/>
        <w:rPr>
          <w:b/>
          <w:bCs/>
        </w:rPr>
      </w:pPr>
    </w:p>
    <w:p w14:paraId="7AC1CC68" w14:textId="77CBB102" w:rsidR="008F4DD1" w:rsidRDefault="008F4DD1" w:rsidP="0012122C">
      <w:pPr>
        <w:jc w:val="both"/>
        <w:rPr>
          <w:b/>
          <w:bCs/>
        </w:rPr>
      </w:pPr>
    </w:p>
    <w:p w14:paraId="5C52840C" w14:textId="64A0B6F8" w:rsidR="008F4DD1" w:rsidRDefault="008F4DD1" w:rsidP="0012122C">
      <w:pPr>
        <w:jc w:val="both"/>
        <w:rPr>
          <w:b/>
          <w:bCs/>
        </w:rPr>
      </w:pPr>
    </w:p>
    <w:p w14:paraId="0498368B" w14:textId="5E711BEE" w:rsidR="008F4DD1" w:rsidRDefault="008F4DD1" w:rsidP="0012122C">
      <w:pPr>
        <w:jc w:val="both"/>
        <w:rPr>
          <w:b/>
          <w:bCs/>
        </w:rPr>
      </w:pPr>
    </w:p>
    <w:p w14:paraId="34496476" w14:textId="7E9FC506" w:rsidR="008F4DD1" w:rsidRDefault="008F4DD1" w:rsidP="0012122C">
      <w:pPr>
        <w:jc w:val="both"/>
        <w:rPr>
          <w:b/>
          <w:bCs/>
        </w:rPr>
      </w:pPr>
    </w:p>
    <w:p w14:paraId="5256864B" w14:textId="5C6AC2B0" w:rsidR="008F4DD1" w:rsidRDefault="008F4DD1" w:rsidP="0012122C">
      <w:pPr>
        <w:jc w:val="both"/>
        <w:rPr>
          <w:b/>
          <w:bCs/>
        </w:rPr>
      </w:pPr>
    </w:p>
    <w:p w14:paraId="06BBB2CE" w14:textId="69C74CA5" w:rsidR="008F4DD1" w:rsidRDefault="008F4DD1" w:rsidP="0012122C">
      <w:pPr>
        <w:jc w:val="both"/>
        <w:rPr>
          <w:b/>
          <w:bCs/>
        </w:rPr>
      </w:pPr>
    </w:p>
    <w:p w14:paraId="1DD43E8B" w14:textId="727023D9" w:rsidR="008F4DD1" w:rsidRDefault="008F4DD1" w:rsidP="0012122C">
      <w:pPr>
        <w:jc w:val="both"/>
        <w:rPr>
          <w:b/>
          <w:bCs/>
        </w:rPr>
      </w:pPr>
    </w:p>
    <w:p w14:paraId="531C355D" w14:textId="7C382299" w:rsidR="008F4DD1" w:rsidRDefault="008F4DD1" w:rsidP="0012122C">
      <w:pPr>
        <w:jc w:val="both"/>
        <w:rPr>
          <w:b/>
          <w:bCs/>
        </w:rPr>
      </w:pPr>
    </w:p>
    <w:p w14:paraId="1094446A" w14:textId="231161AA" w:rsidR="008F4DD1" w:rsidRDefault="008F4DD1" w:rsidP="0012122C">
      <w:pPr>
        <w:jc w:val="both"/>
        <w:rPr>
          <w:b/>
          <w:bCs/>
        </w:rPr>
      </w:pPr>
    </w:p>
    <w:p w14:paraId="6CDC7159" w14:textId="5FF5652E" w:rsidR="008F4DD1" w:rsidRDefault="008F4DD1" w:rsidP="0012122C">
      <w:pPr>
        <w:jc w:val="both"/>
        <w:rPr>
          <w:b/>
          <w:bCs/>
        </w:rPr>
      </w:pPr>
    </w:p>
    <w:p w14:paraId="64378DAB" w14:textId="4242D1E8" w:rsidR="008F4DD1" w:rsidRDefault="008F4DD1" w:rsidP="0012122C">
      <w:pPr>
        <w:jc w:val="both"/>
        <w:rPr>
          <w:b/>
          <w:bCs/>
        </w:rPr>
      </w:pPr>
    </w:p>
    <w:p w14:paraId="187B83A1" w14:textId="557582DD" w:rsidR="008F4DD1" w:rsidRDefault="008F4DD1" w:rsidP="0012122C">
      <w:pPr>
        <w:jc w:val="both"/>
        <w:rPr>
          <w:b/>
          <w:bCs/>
        </w:rPr>
      </w:pPr>
    </w:p>
    <w:p w14:paraId="182A4E26" w14:textId="2A04D6EE" w:rsidR="008F4DD1" w:rsidRDefault="008F4DD1" w:rsidP="0012122C">
      <w:pPr>
        <w:jc w:val="both"/>
        <w:rPr>
          <w:b/>
          <w:bCs/>
        </w:rPr>
      </w:pPr>
    </w:p>
    <w:p w14:paraId="16B63B1C" w14:textId="6806620F" w:rsidR="008F4DD1" w:rsidRDefault="008F4DD1" w:rsidP="0012122C">
      <w:pPr>
        <w:jc w:val="both"/>
        <w:rPr>
          <w:b/>
          <w:bCs/>
        </w:rPr>
      </w:pPr>
    </w:p>
    <w:p w14:paraId="57ECBED3" w14:textId="30619BA4" w:rsidR="008F4DD1" w:rsidRDefault="008F4DD1" w:rsidP="0012122C">
      <w:pPr>
        <w:jc w:val="both"/>
        <w:rPr>
          <w:b/>
          <w:bCs/>
        </w:rPr>
      </w:pPr>
    </w:p>
    <w:p w14:paraId="2B9CA724" w14:textId="33C4CB46" w:rsidR="008F4DD1" w:rsidRDefault="008F4DD1" w:rsidP="0012122C">
      <w:pPr>
        <w:jc w:val="both"/>
        <w:rPr>
          <w:b/>
          <w:bCs/>
        </w:rPr>
      </w:pPr>
    </w:p>
    <w:p w14:paraId="1FB702F1" w14:textId="4AF8881B" w:rsidR="008F4DD1" w:rsidRDefault="008F4DD1" w:rsidP="0012122C">
      <w:pPr>
        <w:jc w:val="both"/>
        <w:rPr>
          <w:b/>
          <w:bCs/>
        </w:rPr>
      </w:pPr>
    </w:p>
    <w:p w14:paraId="3B8A4242" w14:textId="421CBEA2" w:rsidR="008F4DD1" w:rsidRDefault="008F4DD1" w:rsidP="0012122C">
      <w:pPr>
        <w:jc w:val="both"/>
        <w:rPr>
          <w:b/>
          <w:bCs/>
        </w:rPr>
      </w:pPr>
    </w:p>
    <w:p w14:paraId="63CA32D4" w14:textId="5F0CD105" w:rsidR="008F4DD1" w:rsidRDefault="008F4DD1" w:rsidP="0012122C">
      <w:pPr>
        <w:jc w:val="both"/>
        <w:rPr>
          <w:b/>
          <w:bCs/>
        </w:rPr>
      </w:pPr>
    </w:p>
    <w:p w14:paraId="09BB9D23" w14:textId="7D8805E7" w:rsidR="008F4DD1" w:rsidRDefault="008F4DD1" w:rsidP="0012122C">
      <w:pPr>
        <w:jc w:val="both"/>
        <w:rPr>
          <w:b/>
          <w:bCs/>
        </w:rPr>
      </w:pPr>
    </w:p>
    <w:p w14:paraId="665765FA" w14:textId="41F019C9" w:rsidR="008F4DD1" w:rsidRDefault="008F4DD1" w:rsidP="0012122C">
      <w:pPr>
        <w:jc w:val="both"/>
        <w:rPr>
          <w:b/>
          <w:bCs/>
        </w:rPr>
      </w:pPr>
    </w:p>
    <w:p w14:paraId="331A186D" w14:textId="0B27D05D" w:rsidR="008F4DD1" w:rsidRDefault="008F4DD1" w:rsidP="0012122C">
      <w:pPr>
        <w:jc w:val="both"/>
        <w:rPr>
          <w:b/>
          <w:bCs/>
        </w:rPr>
      </w:pPr>
    </w:p>
    <w:p w14:paraId="11712D32" w14:textId="3DDF8D7D" w:rsidR="008F4DD1" w:rsidRDefault="008F4DD1" w:rsidP="0012122C">
      <w:pPr>
        <w:jc w:val="both"/>
        <w:rPr>
          <w:b/>
          <w:bCs/>
        </w:rPr>
      </w:pPr>
    </w:p>
    <w:p w14:paraId="4443C256" w14:textId="7683337B" w:rsidR="008F4DD1" w:rsidRDefault="008F4DD1" w:rsidP="0012122C">
      <w:pPr>
        <w:jc w:val="both"/>
        <w:rPr>
          <w:b/>
          <w:bCs/>
        </w:rPr>
      </w:pPr>
    </w:p>
    <w:p w14:paraId="225AF883" w14:textId="16FC72C3" w:rsidR="008F4DD1" w:rsidRDefault="008F4DD1" w:rsidP="0012122C">
      <w:pPr>
        <w:jc w:val="both"/>
        <w:rPr>
          <w:b/>
          <w:bCs/>
        </w:rPr>
      </w:pPr>
    </w:p>
    <w:p w14:paraId="6DCB6D04" w14:textId="30222BEA" w:rsidR="008F4DD1" w:rsidRDefault="008F4DD1" w:rsidP="0012122C">
      <w:pPr>
        <w:jc w:val="both"/>
        <w:rPr>
          <w:b/>
          <w:bCs/>
        </w:rPr>
      </w:pPr>
    </w:p>
    <w:p w14:paraId="29FB746B" w14:textId="745C79D8" w:rsidR="008F4DD1" w:rsidRDefault="008F4DD1" w:rsidP="0012122C">
      <w:pPr>
        <w:jc w:val="both"/>
        <w:rPr>
          <w:b/>
          <w:bCs/>
        </w:rPr>
      </w:pPr>
      <w:r>
        <w:rPr>
          <w:b/>
          <w:bCs/>
        </w:rPr>
        <w:t xml:space="preserve">Extra Figures/Tables </w:t>
      </w:r>
    </w:p>
    <w:p w14:paraId="1ABB4F67" w14:textId="7CF42ACA" w:rsidR="008F4DD1" w:rsidRDefault="008F4DD1" w:rsidP="0012122C">
      <w:pPr>
        <w:jc w:val="both"/>
        <w:rPr>
          <w:b/>
          <w:bCs/>
        </w:rPr>
      </w:pPr>
      <w:r>
        <w:rPr>
          <w:b/>
          <w:bCs/>
        </w:rPr>
        <w:t>Distribution of Spending by Region</w:t>
      </w:r>
    </w:p>
    <w:p w14:paraId="670AF4DF" w14:textId="12EA1C93" w:rsidR="008F4DD1" w:rsidRPr="00391EBD" w:rsidRDefault="008F4DD1" w:rsidP="0012122C">
      <w:pPr>
        <w:jc w:val="both"/>
        <w:rPr>
          <w:b/>
          <w:bCs/>
        </w:rPr>
      </w:pPr>
      <w:r>
        <w:rPr>
          <w:noProof/>
        </w:rPr>
        <w:lastRenderedPageBreak/>
        <w:drawing>
          <wp:inline distT="0" distB="0" distL="0" distR="0" wp14:anchorId="2D8051EE" wp14:editId="229CCC75">
            <wp:extent cx="5731510" cy="469074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90745"/>
                    </a:xfrm>
                    <a:prstGeom prst="rect">
                      <a:avLst/>
                    </a:prstGeom>
                    <a:noFill/>
                    <a:ln>
                      <a:noFill/>
                    </a:ln>
                  </pic:spPr>
                </pic:pic>
              </a:graphicData>
            </a:graphic>
          </wp:inline>
        </w:drawing>
      </w:r>
    </w:p>
    <w:sectPr w:rsidR="008F4DD1" w:rsidRPr="0039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56"/>
    <w:rsid w:val="00074B4E"/>
    <w:rsid w:val="000B005F"/>
    <w:rsid w:val="000F2CFE"/>
    <w:rsid w:val="0012122C"/>
    <w:rsid w:val="001E4A73"/>
    <w:rsid w:val="0021718E"/>
    <w:rsid w:val="0025695B"/>
    <w:rsid w:val="00295FC1"/>
    <w:rsid w:val="003048A7"/>
    <w:rsid w:val="0035635D"/>
    <w:rsid w:val="003610E5"/>
    <w:rsid w:val="00391EBD"/>
    <w:rsid w:val="003E7215"/>
    <w:rsid w:val="0042146A"/>
    <w:rsid w:val="004645F6"/>
    <w:rsid w:val="004B2200"/>
    <w:rsid w:val="005057C2"/>
    <w:rsid w:val="005105FB"/>
    <w:rsid w:val="005475B4"/>
    <w:rsid w:val="0055246C"/>
    <w:rsid w:val="00596DBB"/>
    <w:rsid w:val="005E48FA"/>
    <w:rsid w:val="00626356"/>
    <w:rsid w:val="00631520"/>
    <w:rsid w:val="0066672D"/>
    <w:rsid w:val="006C510C"/>
    <w:rsid w:val="007B6E82"/>
    <w:rsid w:val="008F4DD1"/>
    <w:rsid w:val="00902510"/>
    <w:rsid w:val="0093407E"/>
    <w:rsid w:val="00954207"/>
    <w:rsid w:val="00A413F0"/>
    <w:rsid w:val="00AB5A21"/>
    <w:rsid w:val="00AE0CD3"/>
    <w:rsid w:val="00B0270B"/>
    <w:rsid w:val="00B0609D"/>
    <w:rsid w:val="00B454AF"/>
    <w:rsid w:val="00C0139E"/>
    <w:rsid w:val="00C45060"/>
    <w:rsid w:val="00CD5908"/>
    <w:rsid w:val="00CF54F1"/>
    <w:rsid w:val="00D1150B"/>
    <w:rsid w:val="00D834F7"/>
    <w:rsid w:val="00DA04E4"/>
    <w:rsid w:val="00E62A82"/>
    <w:rsid w:val="00FB6122"/>
    <w:rsid w:val="00FC6A3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semiHidden/>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1</b:RefOrder>
  </b:Source>
</b:Sources>
</file>

<file path=customXml/itemProps1.xml><?xml version="1.0" encoding="utf-8"?>
<ds:datastoreItem xmlns:ds="http://schemas.openxmlformats.org/officeDocument/2006/customXml" ds:itemID="{B33A238E-6C99-45EE-BF95-5D6B583E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4585</TotalTime>
  <Pages>8</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27</cp:revision>
  <dcterms:created xsi:type="dcterms:W3CDTF">2021-11-22T12:34:00Z</dcterms:created>
  <dcterms:modified xsi:type="dcterms:W3CDTF">2021-12-12T17:47:00Z</dcterms:modified>
</cp:coreProperties>
</file>