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四足机器人导航系统大语言模型接入</w:t>
      </w:r>
    </w:p>
    <w:p>
      <w:r>
        <w:t>ROS2课程知识整理与结课报告补充章节</w:t>
      </w:r>
    </w:p>
    <w:p>
      <w:r>
        <w:t>项目平台  Lite3 · ROS2 Jazzy · Gazebo Harmonic · Nav2 · DeepSeek</w:t>
        <w:br/>
        <w:t>整理日期  2026年10月20日</w:t>
      </w:r>
    </w:p>
    <w:p>
      <w:pPr>
        <w:pStyle w:val="Heading1"/>
      </w:pPr>
      <w:r>
        <w:t>第一部分  AI模块相关ROS2知识与接口</w:t>
      </w:r>
    </w:p>
    <w:p>
      <w:r>
        <w:t>本部分按节点、Topic、Service、Action、参数、TF和Launch整理AI模块的实际实现。AI入口新增两个ROS2节点和两个业务Topic；导航服务和动作沿用原系统。最近加入的工具调用与任务编排属于后台内部模块，没有为每个工具增加节点。</w:t>
      </w:r>
    </w:p>
    <w:p>
      <w:pPr>
        <w:pStyle w:val="Heading2"/>
      </w:pPr>
      <w:r>
        <w:t>1  主要节点</w:t>
      </w:r>
    </w:p>
    <w:tbl>
      <w:tblPr>
        <w:tblW w:type="auto" w:w="0"/>
        <w:jc w:val="center"/>
        <w:tblLayout w:type="fixed"/>
        <w:tblLook w:firstColumn="1" w:firstRow="1" w:lastColumn="0" w:lastRow="0" w:noHBand="0" w:noVBand="1" w:val="04A0"/>
      </w:tblPr>
      <w:tblGrid>
        <w:gridCol w:w="3061"/>
        <w:gridCol w:w="2324"/>
        <w:gridCol w:w="4479"/>
      </w:tblGrid>
      <w:tr>
        <w:trPr>
          <w:cantSplit/>
          <w:tblHeader/>
        </w:trPr>
        <w:tc>
          <w:tcPr>
            <w:tcW w:type="dxa" w:w="3061"/>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节点名称</w:t>
            </w:r>
          </w:p>
        </w:tc>
        <w:tc>
          <w:tcPr>
            <w:tcW w:type="dxa" w:w="2324"/>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所属包与程序</w:t>
            </w:r>
          </w:p>
        </w:tc>
        <w:tc>
          <w:tcPr>
            <w:tcW w:type="dxa" w:w="4479"/>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工作内容</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/lite3_interaction</w:t>
            </w:r>
          </w:p>
        </w:tc>
        <w:tc>
          <w:tcPr>
            <w:tcW w:type="dxa" w:w="23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lite3_navigation</w:t>
              <w:br/>
              <w:t>interaction_backend</w:t>
            </w:r>
          </w:p>
        </w:tc>
        <w:tc>
          <w:tcPr>
            <w:tcW w:type="dxa" w:w="4479"/>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交互后台。管理会话与心跳，提供环境目录，调用DeepSeek，校验并执行工具，汇总真实结果。</w:t>
            </w:r>
          </w:p>
        </w:tc>
      </w:tr>
      <w:tr>
        <w:trPr>
          <w:cantSplit/>
        </w:trPr>
        <w:tc>
          <w:tcPr>
            <w:tcW w:type="dxa" w:w="306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/lite3_ai_console_随机后缀</w:t>
            </w:r>
          </w:p>
        </w:tc>
        <w:tc>
          <w:tcPr>
            <w:tcW w:type="dxa" w:w="232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lite3_navigation</w:t>
              <w:br/>
              <w:t>ai_console</w:t>
            </w:r>
          </w:p>
        </w:tc>
        <w:tc>
          <w:tcPr>
            <w:tcW w:type="dxa" w:w="4479"/>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终端输入界面。发布文字、心跳与退出通知，订阅后台事件，显示进度和结果。</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/mission_manager</w:t>
            </w:r>
          </w:p>
        </w:tc>
        <w:tc>
          <w:tcPr>
            <w:tcW w:type="dxa" w:w="232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lite3_navigation</w:t>
              <w:br/>
              <w:t>已有节点</w:t>
            </w:r>
          </w:p>
        </w:tc>
        <w:tc>
          <w:tcPr>
            <w:tcW w:type="dxa" w:w="4479"/>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提供导航任务Action；负责规划、跟随、重规划及结果返回。AI作为客户端复用它。</w:t>
            </w:r>
          </w:p>
        </w:tc>
      </w:tr>
      <w:tr>
        <w:trPr>
          <w:cantSplit/>
        </w:trPr>
        <w:tc>
          <w:tcPr>
            <w:tcW w:type="dxa" w:w="306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/planner_server 与 /controller_server</w:t>
            </w:r>
          </w:p>
        </w:tc>
        <w:tc>
          <w:tcPr>
            <w:tcW w:type="dxa" w:w="232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Nav2</w:t>
              <w:br/>
              <w:t>已有节点</w:t>
            </w:r>
          </w:p>
        </w:tc>
        <w:tc>
          <w:tcPr>
            <w:tcW w:type="dxa" w:w="4479"/>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分别提供全局规划和路径跟随。Smac、MPPI等是内部插件，不是此次新建的AI节点。</w:t>
            </w:r>
          </w:p>
        </w:tc>
      </w:tr>
    </w:tbl>
    <w:p>
      <w:pPr>
        <w:spacing w:after="0" w:line="120" w:lineRule="exact" w:before="0"/>
      </w:pPr>
      <w:r>
        <w:rPr>
          <w:sz w:val="4"/>
        </w:rPr>
      </w:r>
    </w:p>
    <w:p>
      <w:pPr>
        <w:pStyle w:val="Heading2"/>
      </w:pPr>
      <w:r>
        <w:t>2  包与内部模块的区别</w:t>
      </w:r>
    </w:p>
    <w:p>
      <w:r>
        <w:t>lite3_navigation是ROS2功能包；lite3_interaction是运行中的节点。agent_runtime、deepseek_agent、agent_tools、环境目录和地点管理是后台导入的代码模块。DeepSeek运行在远端服务器，通过HTTPS调用，不会出现在本机ros2 node list中。</w:t>
      </w:r>
    </w:p>
    <w:p>
      <w:r>
        <w:t>原有坐标导航、Gazebo选点、键盘控制、雷达感知、Nav2与RL运动链路继续保留。AI层负责组织任务，不直接生成关节力矩或发布机器狗运动速度。</w:t>
      </w:r>
    </w:p>
    <w:p>
      <w:pPr>
        <w:pStyle w:val="Heading1"/>
        <w:pageBreakBefore/>
      </w:pPr>
      <w:r>
        <w:t>第一部分  Topic与消息协议</w:t>
      </w:r>
    </w:p>
    <w:p>
      <w:pPr>
        <w:pStyle w:val="Heading2"/>
      </w:pPr>
      <w:r>
        <w:t>3  新增Topic</w:t>
      </w:r>
    </w:p>
    <w:tbl>
      <w:tblPr>
        <w:tblW w:type="auto" w:w="0"/>
        <w:jc w:val="center"/>
        <w:tblLayout w:type="fixed"/>
        <w:tblLook w:firstColumn="1" w:firstRow="1" w:lastColumn="0" w:lastRow="0" w:noHBand="0" w:noVBand="1" w:val="04A0"/>
      </w:tblPr>
      <w:tblGrid>
        <w:gridCol w:w="3742"/>
        <w:gridCol w:w="2608"/>
        <w:gridCol w:w="3515"/>
      </w:tblGrid>
      <w:tr>
        <w:trPr>
          <w:cantSplit/>
          <w:tblHeader/>
        </w:trPr>
        <w:tc>
          <w:tcPr>
            <w:tcW w:type="dxa" w:w="3742"/>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Topic与类型</w:t>
            </w:r>
          </w:p>
        </w:tc>
        <w:tc>
          <w:tcPr>
            <w:tcW w:type="dxa" w:w="2608"/>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发布者 → 订阅者</w:t>
            </w:r>
          </w:p>
        </w:tc>
        <w:tc>
          <w:tcPr>
            <w:tcW w:type="dxa" w:w="3515"/>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数据内容</w:t>
            </w:r>
          </w:p>
        </w:tc>
      </w:tr>
      <w:tr>
        <w:trPr>
          <w:cantSplit/>
        </w:trPr>
        <w:tc>
          <w:tcPr>
            <w:tcW w:type="dxa" w:w="374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/lite3/interaction/input</w:t>
              <w:br/>
              <w:t>std_msgs/msg/String</w:t>
            </w:r>
          </w:p>
        </w:tc>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AI终端 → lite3_interaction</w:t>
            </w:r>
          </w:p>
        </w:tc>
        <w:tc>
          <w:tcPr>
            <w:tcW w:type="dxa" w:w="351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JSON封装输入：连接、文字指令、心跳、关闭。</w:t>
            </w:r>
          </w:p>
        </w:tc>
      </w:tr>
      <w:tr>
        <w:trPr>
          <w:cantSplit/>
        </w:trPr>
        <w:tc>
          <w:tcPr>
            <w:tcW w:type="dxa" w:w="374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/lite3/interaction/events</w:t>
              <w:br/>
              <w:t>std_msgs/msg/String</w:t>
            </w:r>
          </w:p>
        </w:tc>
        <w:tc>
          <w:tcPr>
            <w:tcW w:type="dxa" w:w="260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lite3_interaction → AI终端</w:t>
            </w:r>
          </w:p>
        </w:tc>
        <w:tc>
          <w:tcPr>
            <w:tcW w:type="dxa" w:w="351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JSON封装输出：理解提示、追问、任务进度、停止确认、成功或失败信息。</w:t>
            </w:r>
          </w:p>
        </w:tc>
      </w:tr>
    </w:tbl>
    <w:p>
      <w:pPr>
        <w:spacing w:after="0" w:line="120" w:lineRule="exact" w:before="0"/>
      </w:pPr>
      <w:r>
        <w:rPr>
          <w:sz w:val="4"/>
        </w:rPr>
      </w:r>
    </w:p>
    <w:p>
      <w:pPr>
        <w:pStyle w:val="Heading2"/>
      </w:pPr>
      <w:r>
        <w:t>4  消息字段</w:t>
      </w:r>
    </w:p>
    <w:tbl>
      <w:tblPr>
        <w:tblW w:type="auto" w:w="0"/>
        <w:jc w:val="center"/>
        <w:tblLayout w:type="fixed"/>
        <w:tblLook w:firstColumn="1" w:firstRow="1" w:lastColumn="0" w:lastRow="0" w:noHBand="0" w:noVBand="1" w:val="04A0"/>
      </w:tblPr>
      <w:tblGrid>
        <w:gridCol w:w="1191"/>
        <w:gridCol w:w="2835"/>
        <w:gridCol w:w="5839"/>
      </w:tblGrid>
      <w:tr>
        <w:trPr>
          <w:cantSplit/>
          <w:tblHeader/>
        </w:trPr>
        <w:tc>
          <w:tcPr>
            <w:tcW w:type="dxa" w:w="1191"/>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方向</w:t>
            </w:r>
          </w:p>
        </w:tc>
        <w:tc>
          <w:tcPr>
            <w:tcW w:type="dxa" w:w="2835"/>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主要字段</w:t>
            </w:r>
          </w:p>
        </w:tc>
        <w:tc>
          <w:tcPr>
            <w:tcW w:type="dxa" w:w="5839"/>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作用</w:t>
            </w:r>
          </w:p>
        </w:tc>
      </w:tr>
      <w:tr>
        <w:trPr>
          <w:cantSplit/>
        </w:trPr>
        <w:tc>
          <w:tcPr>
            <w:tcW w:type="dxa" w:w="11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输入</w:t>
            </w:r>
          </w:p>
        </w:tc>
        <w:tc>
          <w:tcPr>
            <w:tcW w:type="dxa" w:w="283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session、kind、id、text</w:t>
            </w:r>
          </w:p>
        </w:tc>
        <w:tc>
          <w:tcPr>
            <w:tcW w:type="dxa" w:w="5839"/>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session标识会话；kind区分connect、text、heartbeat、close；id标识请求；text保存原始文字。</w:t>
            </w:r>
          </w:p>
        </w:tc>
      </w:tr>
      <w:tr>
        <w:trPr>
          <w:cantSplit/>
        </w:trPr>
        <w:tc>
          <w:tcPr>
            <w:tcW w:type="dxa" w:w="119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输出</w:t>
            </w:r>
          </w:p>
        </w:tc>
        <w:tc>
          <w:tcPr>
            <w:tcW w:type="dxa" w:w="283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session、id、code、message</w:t>
            </w:r>
          </w:p>
        </w:tc>
        <w:tc>
          <w:tcPr>
            <w:tcW w:type="dxa" w:w="5839"/>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按会话与请求匹配响应；code表示处理状态；message显示中文说明；可附带结构化结果。</w:t>
            </w:r>
          </w:p>
        </w:tc>
      </w:tr>
    </w:tbl>
    <w:p>
      <w:pPr>
        <w:spacing w:after="0" w:line="120" w:lineRule="exact" w:before="0"/>
      </w:pPr>
      <w:r>
        <w:rPr>
          <w:sz w:val="4"/>
        </w:rPr>
      </w:r>
    </w:p>
    <w:p>
      <w:r>
        <w:t>示例输入为 {"session":"会话ID","kind":"text","id":"请求ID","text":"先去东墙，再去货架1"}。String是ROS消息类型，JSON是其中data字段的内容格式；二者不是两种并列的通信机制。</w:t>
      </w:r>
    </w:p>
    <w:p>
      <w:pPr>
        <w:pStyle w:val="Heading2"/>
      </w:pPr>
      <w:r>
        <w:t>5  QoS与异步通信</w:t>
      </w:r>
    </w:p>
    <w:p>
      <w:r>
        <w:t>输入发布端队列深度20，后台订阅深度50；事件发布和订阅深度均为50。代码使用整数深度创建端点，对应Keep Last历史、Reliable可靠传输和Volatile易失持久性。深度是待处理历史样本数，不代表保存聊天记录的轮数。</w:t>
      </w:r>
    </w:p>
    <w:p>
      <w:r>
        <w:t>Topic适合持续传递输入和事件，发布与订阅不要求一次请求对应一次响应。因此项目在业务数据中补充session和id，处理会话归属、重复请求与迟到消息。Topic的可靠传输不等于任务必然成功，最终结果仍以Action及执行记录为准。</w:t>
      </w:r>
    </w:p>
    <w:p>
      <w:pPr>
        <w:pStyle w:val="Heading2"/>
      </w:pPr>
      <w:r>
        <w:t>6  心跳与生命周期</w:t>
      </w:r>
    </w:p>
    <w:p>
      <w:r>
        <w:t>终端约每0.4秒发送一次心跳。后台使用实际经过时间判断失联，超过2.5秒后取消剩余任务并请求停止。输入“退出”或按Ctrl+C时，终端发送关闭请求并等待停止确认。该机制属于应用层设计，不是DDS默认QoS自动提供的导航停止功能。</w:t>
      </w:r>
    </w:p>
    <w:p>
      <w:pPr>
        <w:pStyle w:val="Heading1"/>
        <w:pageBreakBefore/>
      </w:pPr>
      <w:r>
        <w:t>第一部分  Service接口</w:t>
      </w:r>
    </w:p>
    <w:p>
      <w:pPr>
        <w:pStyle w:val="Heading2"/>
      </w:pPr>
      <w:r>
        <w:t>7  复用的导航与状态服务</w:t>
      </w:r>
    </w:p>
    <w:tbl>
      <w:tblPr>
        <w:tblW w:type="auto" w:w="0"/>
        <w:jc w:val="center"/>
        <w:tblLayout w:type="fixed"/>
        <w:tblLook w:firstColumn="1" w:firstRow="1" w:lastColumn="0" w:lastRow="0" w:noHBand="0" w:noVBand="1" w:val="04A0"/>
      </w:tblPr>
      <w:tblGrid>
        <w:gridCol w:w="3061"/>
        <w:gridCol w:w="1757"/>
        <w:gridCol w:w="2154"/>
        <w:gridCol w:w="2891"/>
      </w:tblGrid>
      <w:tr>
        <w:trPr>
          <w:cantSplit/>
          <w:tblHeader/>
        </w:trPr>
        <w:tc>
          <w:tcPr>
            <w:tcW w:type="dxa" w:w="3061"/>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服务名称</w:t>
            </w:r>
          </w:p>
        </w:tc>
        <w:tc>
          <w:tcPr>
            <w:tcW w:type="dxa" w:w="1757"/>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类型</w:t>
            </w:r>
          </w:p>
        </w:tc>
        <w:tc>
          <w:tcPr>
            <w:tcW w:type="dxa" w:w="2154"/>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服务端</w:t>
            </w:r>
          </w:p>
        </w:tc>
        <w:tc>
          <w:tcPr>
            <w:tcW w:type="dxa" w:w="2891"/>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AI后台用途</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/lite3/set_navigation_enabled</w:t>
            </w:r>
          </w:p>
        </w:tc>
        <w:tc>
          <w:tcPr>
            <w:tcW w:type="dxa" w:w="1757"/>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std_srvs/srv/SetBool</w:t>
            </w:r>
          </w:p>
        </w:tc>
        <w:tc>
          <w:tcPr>
            <w:tcW w:type="dxa" w:w="215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mission_manager</w:t>
            </w:r>
          </w:p>
        </w:tc>
        <w:tc>
          <w:tcPr>
            <w:tcW w:type="dxa" w:w="28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处理本地明确的开启或关闭导航。模型无自动开启权限。</w:t>
            </w:r>
          </w:p>
        </w:tc>
      </w:tr>
      <w:tr>
        <w:trPr>
          <w:cantSplit/>
        </w:trPr>
        <w:tc>
          <w:tcPr>
            <w:tcW w:type="dxa" w:w="306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/lite3/get_navigation_state</w:t>
            </w:r>
          </w:p>
        </w:tc>
        <w:tc>
          <w:tcPr>
            <w:tcW w:type="dxa" w:w="1757"/>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std_srvs/srv/Trigger</w:t>
            </w:r>
          </w:p>
        </w:tc>
        <w:tc>
          <w:tcPr>
            <w:tcW w:type="dxa" w:w="215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mission_manager</w:t>
            </w:r>
          </w:p>
        </w:tc>
        <w:tc>
          <w:tcPr>
            <w:tcW w:type="dxa" w:w="289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查询导航开关、任务状态与停止清理情况，响应message承载状态信息。</w:t>
            </w:r>
          </w:p>
        </w:tc>
      </w:tr>
      <w:tr>
        <w:trPr>
          <w:cantSplit/>
        </w:trPr>
        <w:tc>
          <w:tcPr>
            <w:tcW w:type="dxa" w:w="306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/lite3/set_stop</w:t>
            </w:r>
          </w:p>
        </w:tc>
        <w:tc>
          <w:tcPr>
            <w:tcW w:type="dxa" w:w="1757"/>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std_srvs/srv/SetBool</w:t>
            </w:r>
          </w:p>
        </w:tc>
        <w:tc>
          <w:tcPr>
            <w:tcW w:type="dxa" w:w="215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lite3_motion_node</w:t>
            </w:r>
          </w:p>
        </w:tc>
        <w:tc>
          <w:tcPr>
            <w:tcW w:type="dxa" w:w="289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请求运动停止锁定。导航停止后仍由原有链路落实。</w:t>
            </w:r>
          </w:p>
        </w:tc>
      </w:tr>
    </w:tbl>
    <w:p>
      <w:pPr>
        <w:spacing w:after="0" w:line="120" w:lineRule="exact" w:before="0"/>
      </w:pPr>
      <w:r>
        <w:rPr>
          <w:sz w:val="4"/>
        </w:rPr>
      </w:r>
    </w:p>
    <w:p>
      <w:pPr>
        <w:pStyle w:val="Heading2"/>
      </w:pPr>
      <w:r>
        <w:t>8  物体接近所需的查询服务</w:t>
      </w:r>
    </w:p>
    <w:tbl>
      <w:tblPr>
        <w:tblW w:type="auto" w:w="0"/>
        <w:jc w:val="center"/>
        <w:tblLayout w:type="fixed"/>
        <w:tblLook w:firstColumn="1" w:firstRow="1" w:lastColumn="0" w:lastRow="0" w:noHBand="0" w:noVBand="1" w:val="04A0"/>
      </w:tblPr>
      <w:tblGrid>
        <w:gridCol w:w="3628"/>
        <w:gridCol w:w="2494"/>
        <w:gridCol w:w="3742"/>
      </w:tblGrid>
      <w:tr>
        <w:trPr>
          <w:cantSplit/>
          <w:tblHeader/>
        </w:trPr>
        <w:tc>
          <w:tcPr>
            <w:tcW w:type="dxa" w:w="3628"/>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服务名称</w:t>
            </w:r>
          </w:p>
        </w:tc>
        <w:tc>
          <w:tcPr>
            <w:tcW w:type="dxa" w:w="2494"/>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类型</w:t>
            </w:r>
          </w:p>
        </w:tc>
        <w:tc>
          <w:tcPr>
            <w:tcW w:type="dxa" w:w="3742"/>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返回内容与用途</w:t>
            </w:r>
          </w:p>
        </w:tc>
      </w:tr>
      <w:tr>
        <w:trPr>
          <w:cantSplit/>
        </w:trPr>
        <w:tc>
          <w:tcPr>
            <w:tcW w:type="dxa" w:w="36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/global_costmap/get_costmap</w:t>
            </w:r>
          </w:p>
        </w:tc>
        <w:tc>
          <w:tcPr>
            <w:tcW w:type="dxa" w:w="249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nav2_msgs/srv/GetCostmap</w:t>
            </w:r>
          </w:p>
        </w:tc>
        <w:tc>
          <w:tcPr>
            <w:tcW w:type="dxa" w:w="374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取得全局代价地图，检查候选站立位置与完整机器人轮廓是否冲突。</w:t>
            </w:r>
          </w:p>
        </w:tc>
      </w:tr>
      <w:tr>
        <w:trPr>
          <w:cantSplit/>
        </w:trPr>
        <w:tc>
          <w:tcPr>
            <w:tcW w:type="dxa" w:w="362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/global_costmap/global_costmap/get_parameters</w:t>
            </w:r>
          </w:p>
        </w:tc>
        <w:tc>
          <w:tcPr>
            <w:tcW w:type="dxa" w:w="249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rcl_interfaces/srv/GetParameters</w:t>
            </w:r>
          </w:p>
        </w:tc>
        <w:tc>
          <w:tcPr>
            <w:tcW w:type="dxa" w:w="374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读取footprint、footprint_padding、global_frame，使用系统真实轮廓与坐标系。</w:t>
            </w:r>
          </w:p>
        </w:tc>
      </w:tr>
      <w:tr>
        <w:trPr>
          <w:cantSplit/>
        </w:trPr>
        <w:tc>
          <w:tcPr>
            <w:tcW w:type="dxa" w:w="36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/planner_server/get_parameters</w:t>
            </w:r>
          </w:p>
        </w:tc>
        <w:tc>
          <w:tcPr>
            <w:tcW w:type="dxa" w:w="249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rcl_interfaces/srv/GetParameters</w:t>
            </w:r>
          </w:p>
        </w:tc>
        <w:tc>
          <w:tcPr>
            <w:tcW w:type="dxa" w:w="374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读取GridBased.plugin，确认候选验证使用当前配置的规划器。</w:t>
            </w:r>
          </w:p>
        </w:tc>
      </w:tr>
    </w:tbl>
    <w:p>
      <w:pPr>
        <w:spacing w:after="0" w:line="120" w:lineRule="exact" w:before="0"/>
      </w:pPr>
      <w:r>
        <w:rPr>
          <w:sz w:val="4"/>
        </w:rPr>
      </w:r>
    </w:p>
    <w:p>
      <w:r>
        <w:t>以上是AI模块调用的已有服务，不是此次分别新增的服务端。AI后台是客户端，使用异步请求接收响应；等待过程中仍能处理心跳和停止。</w:t>
      </w:r>
    </w:p>
    <w:p>
      <w:pPr>
        <w:pStyle w:val="Heading2"/>
      </w:pPr>
      <w:r>
        <w:t>9  为什么查询使用Service</w:t>
      </w:r>
    </w:p>
    <w:p>
      <w:r>
        <w:t>查询导航状态、读取参数或取得一次地图快照，具有明确的请求与响应，通常能较快完成，适合Service。机器人从当前位置走到货架旁可能持续几十秒，需要进度、取消和最终结果，因此使用Action。</w:t>
      </w:r>
    </w:p>
    <w:p>
      <w:r>
        <w:t>保存地点、删除地点、查询语义目录目前主要由交互后台内部程序处理，并未为每项功能单独建立ROS Service。模型看到的“工具”是一组程序能力入口，不能直接等同于ROS Service。</w:t>
      </w:r>
    </w:p>
    <w:p>
      <w:pPr>
        <w:pStyle w:val="Heading1"/>
        <w:pageBreakBefore/>
      </w:pPr>
      <w:r>
        <w:t>第一部分  Action与参数</w:t>
      </w:r>
    </w:p>
    <w:p>
      <w:pPr>
        <w:pStyle w:val="Heading2"/>
      </w:pPr>
      <w:r>
        <w:t>10  AI后台使用的Action</w:t>
      </w:r>
    </w:p>
    <w:tbl>
      <w:tblPr>
        <w:tblW w:type="auto" w:w="0"/>
        <w:jc w:val="center"/>
        <w:tblLayout w:type="fixed"/>
        <w:tblLook w:firstColumn="1" w:firstRow="1" w:lastColumn="0" w:lastRow="0" w:noHBand="0" w:noVBand="1" w:val="04A0"/>
      </w:tblPr>
      <w:tblGrid>
        <w:gridCol w:w="3969"/>
        <w:gridCol w:w="2494"/>
        <w:gridCol w:w="3402"/>
      </w:tblGrid>
      <w:tr>
        <w:trPr>
          <w:cantSplit/>
          <w:tblHeader/>
        </w:trPr>
        <w:tc>
          <w:tcPr>
            <w:tcW w:type="dxa" w:w="3969"/>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Action名称与类型</w:t>
            </w:r>
          </w:p>
        </w:tc>
        <w:tc>
          <w:tcPr>
            <w:tcW w:type="dxa" w:w="2494"/>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客户端 → 服务端</w:t>
            </w:r>
          </w:p>
        </w:tc>
        <w:tc>
          <w:tcPr>
            <w:tcW w:type="dxa" w:w="3402"/>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工作内容</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/navigate_task</w:t>
              <w:br/>
              <w:t>lite3_interfaces/action/NavigateTask</w:t>
            </w:r>
          </w:p>
        </w:tc>
        <w:tc>
          <w:tcPr>
            <w:tcW w:type="dxa" w:w="249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lite3_interaction → mission_manager</w:t>
            </w:r>
          </w:p>
        </w:tc>
        <w:tc>
          <w:tcPr>
            <w:tcW w:type="dxa" w:w="340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提交实际导航目标，订阅阶段与距离反馈，接收任务结果，可取消。</w:t>
            </w:r>
          </w:p>
        </w:tc>
      </w:tr>
      <w:tr>
        <w:trPr>
          <w:cantSplit/>
        </w:trPr>
        <w:tc>
          <w:tcPr>
            <w:tcW w:type="dxa" w:w="3969"/>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/compute_path_to_pose</w:t>
              <w:br/>
              <w:t>nav2_msgs/action/ComputePathToPose</w:t>
            </w:r>
          </w:p>
        </w:tc>
        <w:tc>
          <w:tcPr>
            <w:tcW w:type="dxa" w:w="249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lite3_interaction → planner_server</w:t>
            </w:r>
          </w:p>
        </w:tc>
        <w:tc>
          <w:tcPr>
            <w:tcW w:type="dxa" w:w="340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物体接近预检：验证候选目标能否从实际当前位置规划到达。</w:t>
            </w:r>
          </w:p>
        </w:tc>
      </w:tr>
    </w:tbl>
    <w:p>
      <w:pPr>
        <w:spacing w:after="0" w:line="120" w:lineRule="exact" w:before="0"/>
      </w:pPr>
      <w:r>
        <w:rPr>
          <w:sz w:val="4"/>
        </w:rPr>
      </w:r>
    </w:p>
    <w:tbl>
      <w:tblPr>
        <w:tblW w:type="auto" w:w="0"/>
        <w:jc w:val="center"/>
        <w:tblLayout w:type="fixed"/>
        <w:tblLook w:firstColumn="1" w:firstRow="1" w:lastColumn="0" w:lastRow="0" w:noHBand="0" w:noVBand="1" w:val="04A0"/>
      </w:tblPr>
      <w:tblGrid>
        <w:gridCol w:w="1984"/>
        <w:gridCol w:w="3515"/>
        <w:gridCol w:w="4365"/>
      </w:tblGrid>
      <w:tr>
        <w:trPr>
          <w:cantSplit/>
          <w:tblHeader/>
        </w:trPr>
        <w:tc>
          <w:tcPr>
            <w:tcW w:type="dxa" w:w="1984"/>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NavigateTask组成</w:t>
            </w:r>
          </w:p>
        </w:tc>
        <w:tc>
          <w:tcPr>
            <w:tcW w:type="dxa" w:w="3515"/>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主要字段</w:t>
            </w:r>
          </w:p>
        </w:tc>
        <w:tc>
          <w:tcPr>
            <w:tcW w:type="dxa" w:w="4365"/>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解释</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Goal</w:t>
            </w:r>
          </w:p>
        </w:tc>
        <w:tc>
          <w:tcPr>
            <w:tcW w:type="dxa" w:w="351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goal_x、goal_y、goal_yaw；check_start及start_*</w:t>
            </w:r>
          </w:p>
        </w:tc>
        <w:tc>
          <w:tcPr>
            <w:tcW w:type="dxa" w:w="436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目标属于map坐标系，位置米、朝向弧度；起点检查是可选项。</w:t>
            </w:r>
          </w:p>
        </w:tc>
      </w:tr>
      <w:tr>
        <w:trPr>
          <w:cantSplit/>
        </w:trPr>
        <w:tc>
          <w:tcPr>
            <w:tcW w:type="dxa" w:w="198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Feedback</w:t>
            </w:r>
          </w:p>
        </w:tc>
        <w:tc>
          <w:tcPr>
            <w:tcW w:type="dxa" w:w="351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phase、current_pose、remaining_distance、replan_count</w:t>
            </w:r>
          </w:p>
        </w:tc>
        <w:tc>
          <w:tcPr>
            <w:tcW w:type="dxa" w:w="436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持续返回执行阶段、当前位姿、剩余距离及重规划次数。</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Result</w:t>
            </w:r>
          </w:p>
        </w:tc>
        <w:tc>
          <w:tcPr>
            <w:tcW w:type="dxa" w:w="351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result_code、message、final_pose、retry_count</w:t>
            </w:r>
          </w:p>
        </w:tc>
        <w:tc>
          <w:tcPr>
            <w:tcW w:type="dxa" w:w="436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返回任务层结果、原因、最终位姿和重试次数。</w:t>
            </w:r>
          </w:p>
        </w:tc>
      </w:tr>
    </w:tbl>
    <w:p>
      <w:pPr>
        <w:spacing w:after="0" w:line="120" w:lineRule="exact" w:before="0"/>
      </w:pPr>
      <w:r>
        <w:rPr>
          <w:sz w:val="4"/>
        </w:rPr>
      </w:r>
    </w:p>
    <w:p>
      <w:r>
        <w:t>任务层结果码为0成功、1无路径、2受阻、3目标无效、4起点不符、5运动失败、6超时、7取消、8系统错误。这些不是Nav2内部错误码。后台同时检查动作终止状态和结果码，不把“目标已接受”当作“已经到达”。</w:t>
      </w:r>
    </w:p>
    <w:p>
      <w:pPr>
        <w:pStyle w:val="Heading2"/>
      </w:pPr>
      <w:r>
        <w:t>11  ROS2参数与Launch参数</w:t>
      </w:r>
    </w:p>
    <w:tbl>
      <w:tblPr>
        <w:tblW w:type="auto" w:w="0"/>
        <w:jc w:val="center"/>
        <w:tblLayout w:type="fixed"/>
        <w:tblLook w:firstColumn="1" w:firstRow="1" w:lastColumn="0" w:lastRow="0" w:noHBand="0" w:noVBand="1" w:val="04A0"/>
      </w:tblPr>
      <w:tblGrid>
        <w:gridCol w:w="2948"/>
        <w:gridCol w:w="6917"/>
      </w:tblGrid>
      <w:tr>
        <w:trPr>
          <w:cantSplit/>
          <w:tblHeader/>
        </w:trPr>
        <w:tc>
          <w:tcPr>
            <w:tcW w:type="dxa" w:w="2948"/>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配置项</w:t>
            </w:r>
          </w:p>
        </w:tc>
        <w:tc>
          <w:tcPr>
            <w:tcW w:type="dxa" w:w="6917"/>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用途与当前行为</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ai_control</w:t>
            </w:r>
          </w:p>
        </w:tc>
        <w:tc>
          <w:tcPr>
            <w:tcW w:type="dxa" w:w="6917"/>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bringup的Launch参数；true时启动交互后台。它是启动编排开关。</w:t>
            </w:r>
          </w:p>
        </w:tc>
      </w:tr>
      <w:tr>
        <w:trPr>
          <w:cantSplit/>
        </w:trPr>
        <w:tc>
          <w:tcPr>
            <w:tcW w:type="dxa" w:w="294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language_mode</w:t>
            </w:r>
          </w:p>
        </w:tc>
        <w:tc>
          <w:tcPr>
            <w:tcW w:type="dxa" w:w="6917"/>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Launch传入后台节点参数；rules为固定规则，deepseek调用模型。默认rules。</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agent_tools</w:t>
            </w:r>
          </w:p>
        </w:tc>
        <w:tc>
          <w:tcPr>
            <w:tcW w:type="dxa" w:w="6917"/>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bringup默认true，DeepSeek模式启用工具闭环；直接运行后台节点时默认false。</w:t>
            </w:r>
          </w:p>
        </w:tc>
      </w:tr>
      <w:tr>
        <w:trPr>
          <w:cantSplit/>
        </w:trPr>
        <w:tc>
          <w:tcPr>
            <w:tcW w:type="dxa" w:w="294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map_yaml、world_sdf</w:t>
            </w:r>
          </w:p>
        </w:tc>
        <w:tc>
          <w:tcPr>
            <w:tcW w:type="dxa" w:w="6917"/>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后台节点参数；提供地图身份和场景来源。</w:t>
            </w:r>
          </w:p>
        </w:tc>
      </w:tr>
      <w:tr>
        <w:trPr>
          <w:cantSplit/>
        </w:trPr>
        <w:tc>
          <w:tcPr>
            <w:tcW w:type="dxa" w:w="294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places_file、environment_file</w:t>
            </w:r>
          </w:p>
        </w:tc>
        <w:tc>
          <w:tcPr>
            <w:tcW w:type="dxa" w:w="6917"/>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后台节点参数；指定地点与语义标注文件。</w:t>
            </w:r>
          </w:p>
        </w:tc>
      </w:tr>
      <w:tr>
        <w:trPr>
          <w:cantSplit/>
        </w:trPr>
        <w:tc>
          <w:tcPr>
            <w:tcW w:type="dxa" w:w="294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use_sim_time</w:t>
            </w:r>
          </w:p>
        </w:tc>
        <w:tc>
          <w:tcPr>
            <w:tcW w:type="dxa" w:w="6917"/>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ROS节点使用仿真时钟；心跳和HTTP超时仍按实际时间计时。</w:t>
            </w:r>
          </w:p>
        </w:tc>
      </w:tr>
    </w:tbl>
    <w:p>
      <w:pPr>
        <w:spacing w:after="0" w:line="120" w:lineRule="exact" w:before="0"/>
      </w:pPr>
      <w:r>
        <w:rPr>
          <w:sz w:val="4"/>
        </w:rPr>
      </w:r>
    </w:p>
    <w:p>
      <w:r>
        <w:t>ROS2没有ROS1式的集中参数服务器；参数由各节点管理，并通过标准参数服务访问。Launch参数用于启动时配置，只有显式传递给节点的部分才成为节点参数。</w:t>
      </w:r>
    </w:p>
    <w:p>
      <w:pPr>
        <w:pStyle w:val="Heading1"/>
        <w:pageBreakBefore/>
      </w:pPr>
      <w:r>
        <w:t>第一部分  工具与其他课程知识</w:t>
      </w:r>
    </w:p>
    <w:p>
      <w:pPr>
        <w:pStyle w:val="Heading2"/>
      </w:pPr>
      <w:r>
        <w:t>12  模型可调用的工具</w:t>
      </w:r>
    </w:p>
    <w:tbl>
      <w:tblPr>
        <w:tblW w:type="auto" w:w="0"/>
        <w:jc w:val="center"/>
        <w:tblLayout w:type="fixed"/>
        <w:tblLook w:firstColumn="1" w:firstRow="1" w:lastColumn="0" w:lastRow="0" w:noHBand="0" w:noVBand="1" w:val="04A0"/>
      </w:tblPr>
      <w:tblGrid>
        <w:gridCol w:w="2608"/>
        <w:gridCol w:w="2551"/>
        <w:gridCol w:w="4706"/>
      </w:tblGrid>
      <w:tr>
        <w:trPr>
          <w:cantSplit/>
          <w:tblHeader/>
        </w:trPr>
        <w:tc>
          <w:tcPr>
            <w:tcW w:type="dxa" w:w="2608"/>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工具名称</w:t>
            </w:r>
          </w:p>
        </w:tc>
        <w:tc>
          <w:tcPr>
            <w:tcW w:type="dxa" w:w="2551"/>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功能</w:t>
            </w:r>
          </w:p>
        </w:tc>
        <w:tc>
          <w:tcPr>
            <w:tcW w:type="dxa" w:w="4706"/>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执行依据</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get_environment</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查询环境目录</w:t>
            </w:r>
          </w:p>
        </w:tc>
        <w:tc>
          <w:tcPr>
            <w:tcW w:type="dxa" w:w="470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实时对象状态与语义标注</w:t>
            </w:r>
          </w:p>
        </w:tc>
      </w:tr>
      <w:tr>
        <w:trPr>
          <w:cantSplit/>
        </w:trPr>
        <w:tc>
          <w:tcPr>
            <w:tcW w:type="dxa" w:w="260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get_object</w:t>
            </w:r>
          </w:p>
        </w:tc>
        <w:tc>
          <w:tcPr>
            <w:tcW w:type="dxa" w:w="255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查询单个对象</w:t>
            </w:r>
          </w:p>
        </w:tc>
        <w:tc>
          <w:tcPr>
            <w:tcW w:type="dxa" w:w="4706"/>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对象ID、类别、位姿和存在状态</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get_robot_state</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查询机器人状态</w:t>
            </w:r>
          </w:p>
        </w:tc>
        <w:tc>
          <w:tcPr>
            <w:tcW w:type="dxa" w:w="470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状态服务、有效TF和原点</w:t>
            </w:r>
          </w:p>
        </w:tc>
      </w:tr>
      <w:tr>
        <w:trPr>
          <w:cantSplit/>
        </w:trPr>
        <w:tc>
          <w:tcPr>
            <w:tcW w:type="dxa" w:w="260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list_places</w:t>
            </w:r>
          </w:p>
        </w:tc>
        <w:tc>
          <w:tcPr>
            <w:tcW w:type="dxa" w:w="255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列出保存地点</w:t>
            </w:r>
          </w:p>
        </w:tc>
        <w:tc>
          <w:tcPr>
            <w:tcW w:type="dxa" w:w="4706"/>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本地真实地点记录</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approach_object</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走到固定物体旁</w:t>
            </w:r>
          </w:p>
        </w:tc>
        <w:tc>
          <w:tcPr>
            <w:tcW w:type="dxa" w:w="470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几何计算、costmap、规划预检、NavigateTask</w:t>
            </w:r>
          </w:p>
        </w:tc>
      </w:tr>
      <w:tr>
        <w:trPr>
          <w:cantSplit/>
        </w:trPr>
        <w:tc>
          <w:tcPr>
            <w:tcW w:type="dxa" w:w="260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navigate_to</w:t>
            </w:r>
          </w:p>
        </w:tc>
        <w:tc>
          <w:tcPr>
            <w:tcW w:type="dxa" w:w="255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去保存点或指定坐标</w:t>
            </w:r>
          </w:p>
        </w:tc>
        <w:tc>
          <w:tcPr>
            <w:tcW w:type="dxa" w:w="4706"/>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原NavigateTask执行结果</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return_to_start</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返回本轮任务出发处</w:t>
            </w:r>
          </w:p>
        </w:tc>
        <w:tc>
          <w:tcPr>
            <w:tcW w:type="dxa" w:w="470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本轮开始时的TF快照</w:t>
            </w:r>
          </w:p>
        </w:tc>
      </w:tr>
      <w:tr>
        <w:trPr>
          <w:cantSplit/>
        </w:trPr>
        <w:tc>
          <w:tcPr>
            <w:tcW w:type="dxa" w:w="260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return_home</w:t>
            </w:r>
          </w:p>
        </w:tc>
        <w:tc>
          <w:tcPr>
            <w:tcW w:type="dxa" w:w="255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返回启动原点</w:t>
            </w:r>
          </w:p>
        </w:tc>
        <w:tc>
          <w:tcPr>
            <w:tcW w:type="dxa" w:w="4706"/>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本次启动捕获的有效位姿</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save_place</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保存当前或指定位置</w:t>
            </w:r>
          </w:p>
        </w:tc>
        <w:tc>
          <w:tcPr>
            <w:tcW w:type="dxa" w:w="470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地图绑定与原子文件写入</w:t>
            </w:r>
          </w:p>
        </w:tc>
      </w:tr>
      <w:tr>
        <w:trPr>
          <w:cantSplit/>
        </w:trPr>
        <w:tc>
          <w:tcPr>
            <w:tcW w:type="dxa" w:w="260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delete_places</w:t>
            </w:r>
          </w:p>
        </w:tc>
        <w:tc>
          <w:tcPr>
            <w:tcW w:type="dxa" w:w="255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删除指定或全部保存点</w:t>
            </w:r>
          </w:p>
        </w:tc>
        <w:tc>
          <w:tcPr>
            <w:tcW w:type="dxa" w:w="4706"/>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名称全量校验后一次写入</w:t>
            </w:r>
          </w:p>
        </w:tc>
      </w:tr>
      <w:tr>
        <w:trPr>
          <w:cantSplit/>
        </w:trPr>
        <w:tc>
          <w:tcPr>
            <w:tcW w:type="dxa" w:w="260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annotate_object</w:t>
            </w:r>
          </w:p>
        </w:tc>
        <w:tc>
          <w:tcPr>
            <w:tcW w:type="dxa" w:w="255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修改名称类别等语义</w:t>
            </w:r>
          </w:p>
        </w:tc>
        <w:tc>
          <w:tcPr>
            <w:tcW w:type="dxa" w:w="4706"/>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独立语义文件，不改碰撞几何</w:t>
            </w:r>
          </w:p>
        </w:tc>
      </w:tr>
      <w:tr>
        <w:trPr>
          <w:cantSplit/>
        </w:trPr>
        <w:tc>
          <w:tcPr>
            <w:tcW w:type="dxa" w:w="260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stop_task</w:t>
            </w:r>
          </w:p>
        </w:tc>
        <w:tc>
          <w:tcPr>
            <w:tcW w:type="dxa" w:w="255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停止当前任务</w:t>
            </w:r>
          </w:p>
        </w:tc>
        <w:tc>
          <w:tcPr>
            <w:tcW w:type="dxa" w:w="4706"/>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原有取消与运动停止机制</w:t>
            </w:r>
          </w:p>
        </w:tc>
      </w:tr>
    </w:tbl>
    <w:p>
      <w:pPr>
        <w:spacing w:after="0" w:line="120" w:lineRule="exact" w:before="0"/>
      </w:pPr>
      <w:r>
        <w:rPr>
          <w:sz w:val="4"/>
        </w:rPr>
      </w:r>
    </w:p>
    <w:p>
      <w:pPr>
        <w:pStyle w:val="Heading2"/>
      </w:pPr>
      <w:r>
        <w:t>13  TF与非ROS通信</w:t>
      </w:r>
    </w:p>
    <w:p>
      <w:r>
        <w:t>后台通过tf2查询map到base_footprint的变换，获得机器人平面位置和朝向。用户坐标与地点记录使用米、角度；转换为NavigateTask目标时，朝向转为弧度。API中的模型工具不是新的ROS Action，只有执行器再调用ROS接口时才进入ROS通信链路。</w:t>
      </w:r>
    </w:p>
    <w:p>
      <w:r>
        <w:t>后台与DeepSeek使用HTTPS；环境读取和地点显示辅助程序通过Gazebo Transport读取场景、更新GUI标记。它们不是新增ROS节点。地点标记只用于显示，没有碰撞体，不会被雷达当作障碍。</w:t>
      </w:r>
    </w:p>
    <w:p>
      <w:pPr>
        <w:pStyle w:val="Heading2"/>
      </w:pPr>
      <w:r>
        <w:t>14  课程知识对应</w:t>
      </w:r>
    </w:p>
    <w:p>
      <w:r>
        <w:t>节点体现职责划分；Topic体现异步发布订阅；Service体现短请求响应；Action体现长任务反馈和取消；参数体现可配置性；TF体现坐标转换；Launch体现启动编排；QoS与应用层心跳体现通信和失联处理。AI工具层把这些现成能力组织起来，没有替代ROS2通信机制。</w:t>
      </w:r>
    </w:p>
    <w:p>
      <w:pPr>
        <w:pStyle w:val="Heading1"/>
        <w:pageBreakBefore/>
      </w:pPr>
      <w:r>
        <w:t>第二部分  大语言模型接入报告</w:t>
      </w:r>
    </w:p>
    <w:p>
      <w:pPr>
        <w:pStyle w:val="Heading2"/>
      </w:pPr>
      <w:r>
        <w:t>1  研究目标与问题背景</w:t>
      </w:r>
    </w:p>
    <w:p>
      <w:r>
        <w:t>本项目已完成基于Gazebo、ROS2、Nav2与强化学习策略的四足机器人导航链路。用户可以通过坐标输入、Gazebo选点和终端命令提交目标，机器人依据地图与雷达感知结果进行规划、跟随和避障。在此基础上，我们加入自然语言入口，研究用户任务如何结合环境信息转换为可检查、可执行、可反馈的机器人操作。</w:t>
      </w:r>
    </w:p>
    <w:p>
      <w:r>
        <w:t>最初采用“自然语言映射为单个规范动作”的方式，能够处理前往地点、保存坐标等基本操作，但存在明显局限：对话缺少执行上下文，复杂任务难以连续组织，物体名称稍有变化就可能追问，最终容易退化为命令翻译器。直接让模型操作Ubuntu终端虽然灵活，却无法保证操作范围，也不能解决几何可达性与运动安全问题。</w:t>
      </w:r>
    </w:p>
    <w:p>
      <w:r>
        <w:t>因此，本阶段采用环境信息与受约束工具相结合的方法。模型接收用户完整要求、场景对象、机器人状态和近期执行结果，选择可用工具并组织执行顺序；本地程序校验参数，复用ROS2服务与动作完成操作，再把真实结果返回模型。系统既保留自然语言表达的灵活性，也保持底层导航链路的确定性。</w:t>
      </w:r>
    </w:p>
    <w:p>
      <w:pPr>
        <w:pStyle w:val="Heading2"/>
      </w:pPr>
      <w:r>
        <w:t>2  系统分层与职责</w:t>
      </w:r>
    </w:p>
    <w:tbl>
      <w:tblPr>
        <w:tblW w:type="auto" w:w="0"/>
        <w:jc w:val="center"/>
        <w:tblLayout w:type="fixed"/>
        <w:tblLook w:firstColumn="1" w:firstRow="1" w:lastColumn="0" w:lastRow="0" w:noHBand="0" w:noVBand="1" w:val="04A0"/>
      </w:tblPr>
      <w:tblGrid>
        <w:gridCol w:w="1701"/>
        <w:gridCol w:w="3402"/>
        <w:gridCol w:w="4762"/>
      </w:tblGrid>
      <w:tr>
        <w:trPr>
          <w:cantSplit/>
          <w:tblHeader/>
        </w:trPr>
        <w:tc>
          <w:tcPr>
            <w:tcW w:type="dxa" w:w="1701"/>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层级</w:t>
            </w:r>
          </w:p>
        </w:tc>
        <w:tc>
          <w:tcPr>
            <w:tcW w:type="dxa" w:w="3402"/>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主要组成</w:t>
            </w:r>
          </w:p>
        </w:tc>
        <w:tc>
          <w:tcPr>
            <w:tcW w:type="dxa" w:w="4762"/>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职责</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交互层</w:t>
            </w:r>
          </w:p>
        </w:tc>
        <w:tc>
          <w:tcPr>
            <w:tcW w:type="dxa" w:w="340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ai_console及输入输出Topic</w:t>
            </w:r>
          </w:p>
        </w:tc>
        <w:tc>
          <w:tcPr>
            <w:tcW w:type="dxa" w:w="476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采集文字、显示反馈、维护终端会话。</w:t>
            </w:r>
          </w:p>
        </w:tc>
      </w:tr>
      <w:tr>
        <w:trPr>
          <w:cantSplit/>
        </w:trPr>
        <w:tc>
          <w:tcPr>
            <w:tcW w:type="dxa" w:w="170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任务理解层</w:t>
            </w:r>
          </w:p>
        </w:tc>
        <w:tc>
          <w:tcPr>
            <w:tcW w:type="dxa" w:w="340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DeepSeek原生工具调用</w:t>
            </w:r>
          </w:p>
        </w:tc>
        <w:tc>
          <w:tcPr>
            <w:tcW w:type="dxa" w:w="476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结合语义环境理解目标、选择工具、组织多步任务并解释结果。</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本地执行层</w:t>
            </w:r>
          </w:p>
        </w:tc>
        <w:tc>
          <w:tcPr>
            <w:tcW w:type="dxa" w:w="340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lite3_interaction及工具执行器</w:t>
            </w:r>
          </w:p>
        </w:tc>
        <w:tc>
          <w:tcPr>
            <w:tcW w:type="dxa" w:w="476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校验参数、处理地点、计算接近位置、调用ROS接口并等待结果。</w:t>
            </w:r>
          </w:p>
        </w:tc>
      </w:tr>
      <w:tr>
        <w:trPr>
          <w:cantSplit/>
        </w:trPr>
        <w:tc>
          <w:tcPr>
            <w:tcW w:type="dxa" w:w="1701"/>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导航与运动层</w:t>
            </w:r>
          </w:p>
        </w:tc>
        <w:tc>
          <w:tcPr>
            <w:tcW w:type="dxa" w:w="340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mission_manager、Nav2、运动节点、RL</w:t>
            </w:r>
          </w:p>
        </w:tc>
        <w:tc>
          <w:tcPr>
            <w:tcW w:type="dxa" w:w="476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完成规划、跟随、实时避障及四足运动。</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仿真与感知层</w:t>
            </w:r>
          </w:p>
        </w:tc>
        <w:tc>
          <w:tcPr>
            <w:tcW w:type="dxa" w:w="340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Gazebo、三维雷达、障碍处理与costmap</w:t>
            </w:r>
          </w:p>
        </w:tc>
        <w:tc>
          <w:tcPr>
            <w:tcW w:type="dxa" w:w="476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提供场景、机器人状态与障碍信息。</w:t>
            </w:r>
          </w:p>
        </w:tc>
      </w:tr>
    </w:tbl>
    <w:p>
      <w:pPr>
        <w:spacing w:after="0" w:line="120" w:lineRule="exact" w:before="0"/>
      </w:pPr>
      <w:r>
        <w:rPr>
          <w:sz w:val="4"/>
        </w:rPr>
      </w:r>
    </w:p>
    <w:p>
      <w:r>
        <w:t>整个方案没有改变原有导航能力的入口。关闭AI模块后，原有操作仍可独立使用；启用AI时，它是上层任务组织者，不介入实时关节控制。</w:t>
      </w:r>
    </w:p>
    <w:p>
      <w:pPr>
        <w:pStyle w:val="Heading1"/>
        <w:pageBreakBefore/>
      </w:pPr>
      <w:r>
        <w:t>第二部分  环境信息的语义组织</w:t>
      </w:r>
    </w:p>
    <w:p>
      <w:pPr>
        <w:pStyle w:val="Heading2"/>
      </w:pPr>
      <w:r>
        <w:t>3  对象目录与语义信息</w:t>
      </w:r>
    </w:p>
    <w:p>
      <w:r>
        <w:t>环境目录以Gazebo已有模型为对象基础，使用稳定对象ID关联原始名称、显示名称、类别、用途、别名、存在状态与实际位姿。例如模型shelf_1可以显示为“货架1”，而wall_east保留其真实名称与位置。场景坐标约定为X轴正方向朝东、Y轴正方向朝北，模型可以结合名称与位置理解“东墙”等表达。</w:t>
      </w:r>
    </w:p>
    <w:p>
      <w:r>
        <w:t>货架中文编号是便于人机交流的对象标注，不是为每一种完整句子手工增加匹配规则。新的工具模式把整句话提供给模型，由模型选择对象和任务顺序；当对象确实有歧义、缺少必要信息或环境状态不可用时，再向用户追问。对象名称与空间推理的正确性仍需通过实际在线测试评估。</w:t>
      </w:r>
    </w:p>
    <w:p>
      <w:pPr>
        <w:pStyle w:val="Heading2"/>
      </w:pPr>
      <w:r>
        <w:t>4  长期信息与临时信息</w:t>
      </w:r>
    </w:p>
    <w:tbl>
      <w:tblPr>
        <w:tblW w:type="auto" w:w="0"/>
        <w:jc w:val="center"/>
        <w:tblLayout w:type="fixed"/>
        <w:tblLook w:firstColumn="1" w:firstRow="1" w:lastColumn="0" w:lastRow="0" w:noHBand="0" w:noVBand="1" w:val="04A0"/>
      </w:tblPr>
      <w:tblGrid>
        <w:gridCol w:w="2494"/>
        <w:gridCol w:w="3515"/>
        <w:gridCol w:w="3855"/>
      </w:tblGrid>
      <w:tr>
        <w:trPr>
          <w:cantSplit/>
          <w:tblHeader/>
        </w:trPr>
        <w:tc>
          <w:tcPr>
            <w:tcW w:type="dxa" w:w="2494"/>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数据</w:t>
            </w:r>
          </w:p>
        </w:tc>
        <w:tc>
          <w:tcPr>
            <w:tcW w:type="dxa" w:w="3515"/>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保存方式</w:t>
            </w:r>
          </w:p>
        </w:tc>
        <w:tc>
          <w:tcPr>
            <w:tcW w:type="dxa" w:w="3855"/>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作用</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用户保存地点</w:t>
            </w:r>
          </w:p>
        </w:tc>
        <w:tc>
          <w:tcPr>
            <w:tcW w:type="dxa" w:w="351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本地JSON，绑定地图指纹</w:t>
            </w:r>
          </w:p>
        </w:tc>
        <w:tc>
          <w:tcPr>
            <w:tcW w:type="dxa" w:w="385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保存名称和[x,y,yaw]，供后续按名称导航。</w:t>
            </w:r>
          </w:p>
        </w:tc>
      </w:tr>
      <w:tr>
        <w:trPr>
          <w:cantSplit/>
        </w:trPr>
        <w:tc>
          <w:tcPr>
            <w:tcW w:type="dxa" w:w="249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对象语义标注</w:t>
            </w:r>
          </w:p>
        </w:tc>
        <w:tc>
          <w:tcPr>
            <w:tcW w:type="dxa" w:w="351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独立JSON，绑定地图和场景身份</w:t>
            </w:r>
          </w:p>
        </w:tc>
        <w:tc>
          <w:tcPr>
            <w:tcW w:type="dxa" w:w="385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保存显示名称、类别、别名与用途，不写入占据栅格。</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实时模型位置</w:t>
            </w:r>
          </w:p>
        </w:tc>
        <w:tc>
          <w:tcPr>
            <w:tcW w:type="dxa" w:w="351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Gazebo实时读取，内存使用</w:t>
            </w:r>
          </w:p>
        </w:tc>
        <w:tc>
          <w:tcPr>
            <w:tcW w:type="dxa" w:w="385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反映当前存在与位姿；失效时不伪造可用位置。</w:t>
            </w:r>
          </w:p>
        </w:tc>
      </w:tr>
      <w:tr>
        <w:trPr>
          <w:cantSplit/>
        </w:trPr>
        <w:tc>
          <w:tcPr>
            <w:tcW w:type="dxa" w:w="249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物体旁临时目标</w:t>
            </w:r>
          </w:p>
        </w:tc>
        <w:tc>
          <w:tcPr>
            <w:tcW w:type="dxa" w:w="351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当前执行上下文</w:t>
            </w:r>
          </w:p>
        </w:tc>
        <w:tc>
          <w:tcPr>
            <w:tcW w:type="dxa" w:w="385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按需计算站立位置，不自动写为长期检查点。</w:t>
            </w:r>
          </w:p>
        </w:tc>
      </w:tr>
      <w:tr>
        <w:trPr>
          <w:cantSplit/>
        </w:trPr>
        <w:tc>
          <w:tcPr>
            <w:tcW w:type="dxa" w:w="2494"/>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启动原点和本轮出发处</w:t>
            </w:r>
          </w:p>
        </w:tc>
        <w:tc>
          <w:tcPr>
            <w:tcW w:type="dxa" w:w="351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当前运行或任务内存</w:t>
            </w:r>
          </w:p>
        </w:tc>
        <w:tc>
          <w:tcPr>
            <w:tcW w:type="dxa" w:w="385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分别用于回家和返回本轮任务起点。</w:t>
            </w:r>
          </w:p>
        </w:tc>
      </w:tr>
      <w:tr>
        <w:trPr>
          <w:cantSplit/>
        </w:trPr>
        <w:tc>
          <w:tcPr>
            <w:tcW w:type="dxa" w:w="2494"/>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近期对话与工具记录</w:t>
            </w:r>
          </w:p>
        </w:tc>
        <w:tc>
          <w:tcPr>
            <w:tcW w:type="dxa" w:w="351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后台内存，最多最近3轮</w:t>
            </w:r>
          </w:p>
        </w:tc>
        <w:tc>
          <w:tcPr>
            <w:tcW w:type="dxa" w:w="385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支持指代与任务衔接；新会话重置。</w:t>
            </w:r>
          </w:p>
        </w:tc>
      </w:tr>
    </w:tbl>
    <w:p>
      <w:pPr>
        <w:spacing w:after="0" w:line="120" w:lineRule="exact" w:before="0"/>
      </w:pPr>
      <w:r>
        <w:rPr>
          <w:sz w:val="4"/>
        </w:rPr>
      </w:r>
    </w:p>
    <w:p>
      <w:r>
        <w:t>语义信息以旁挂文件与地图关联，不把“货架用途”等信息画进二维地图像素。二维占据地图与代价地图继续表达几何障碍和通行代价，两类数据相互补充。用户保存点可在Gazebo显示标记，但该标记不参与物理碰撞和雷达检测。</w:t>
      </w:r>
    </w:p>
    <w:p>
      <w:pPr>
        <w:pStyle w:val="Heading2"/>
      </w:pPr>
      <w:r>
        <w:t>5  提供给模型的信息范围</w:t>
      </w:r>
    </w:p>
    <w:p>
      <w:r>
        <w:t>首次请求提供用户原句、结构化环境目录、对象位置、坐标轴说明、机器人当前位姿、启动原点及近期真实工具记录。模型还可通过工具查询最新状态。它不直接接收整个SDF文件、原始雷达点云或完整障碍栅格；底层几何判断留给本地程序。环境位置和对话会随API请求发送至DeepSeek，密钥仅用于HTTPS认证，不进入模型消息。</w:t>
      </w:r>
    </w:p>
    <w:p>
      <w:pPr>
        <w:pStyle w:val="Heading1"/>
        <w:pageBreakBefore/>
      </w:pPr>
      <w:r>
        <w:t>第二部分  工具调用与任务执行闭环</w:t>
      </w:r>
    </w:p>
    <w:p>
      <w:pPr>
        <w:pStyle w:val="Heading2"/>
      </w:pPr>
      <w:r>
        <w:t>6  原生工具调用流程</w:t>
      </w:r>
    </w:p>
    <w:p>
      <w:r>
        <w:t>系统通过DeepSeek Chat Completions接口提供工具名称、说明与参数结构。模型返回结构化tool_calls；本地执行后，以role为tool且匹配tool_call_id的消息回传真实结果，再发起下一轮推理。它与单次输出一个JSON动作不同，可以依据执行反馈继续查询和选择下一步。</w:t>
      </w:r>
    </w:p>
    <w:p>
      <w:r>
        <w:t>执行流程为：接收完整要求 → 准备实时环境与会话上下文 → 模型选择工具 → 整批校验工具名和参数 → 主线程串行执行 → 等待真实Service或Action结果 → 返回工具结果 → 继续下一步或生成总结。模型不能提交任意shell命令，也没有读取项目密钥、修改源码或执行任意程序的工具。</w:t>
      </w:r>
    </w:p>
    <w:p>
      <w:pPr>
        <w:pStyle w:val="Heading2"/>
      </w:pPr>
      <w:r>
        <w:t>7  多步任务示例</w:t>
      </w:r>
    </w:p>
    <w:p>
      <w:r>
        <w:t>以“先去东墙，再去货架1，最后回到出发的位置”为例，后台首先记录本轮指令开始时的有效位姿。模型读取目录，识别东墙与货架1对应对象，调用物体接近工具。程序为东墙生成可站立候选点并预检，通过后向NavigateTask提交目标。</w:t>
      </w:r>
    </w:p>
    <w:p>
      <w:r>
        <w:t>只有实际Action成功结束，后台才向模型返回到达成功。之后执行货架1接近任务，最后调用return_to_start回到本轮出发处。若用户要求“回家”，则使用本次启动原点，两者不会混淆。单个导航步骤完成时，界面提示AI继续处理整组任务；模型结束本轮后，程序补充基于真实结果的执行记录。</w:t>
      </w:r>
    </w:p>
    <w:p>
      <w:pPr>
        <w:pStyle w:val="Heading2"/>
      </w:pPr>
      <w:r>
        <w:t>8  为什么不能让模型直接指定物体中心</w:t>
      </w:r>
    </w:p>
    <w:p>
      <w:r>
        <w:t>“货架旁边”是空间关系，不能简单等于货架模型中心。货架中心通常在碰撞体内部，直接作为目标会不可达或造成碰撞。因此，模型负责选对象和表达方位，本地几何程序负责计算可站立位置，Nav2负责验证与执行。</w:t>
      </w:r>
    </w:p>
    <w:p>
      <w:r>
        <w:t>当前实现读取原场景固定对象的碰撞几何，在对象四侧生成候选位置。候选距离按照机器人保护轮廓的前缘与物体边界之间的间距计算，并考虑离散化余量；使用完整填充轮廓检查costmap，再由Smac规划器验证可达性。默认接近间距0.4米，可接受范围为0.15至1.5米。</w:t>
      </w:r>
    </w:p>
    <w:p>
      <w:r>
        <w:t>该接近能力目前支持原场景中具有可解析固定碰撞几何的货架和墙体。运行时新增或持续移动的物体、复杂mesh等尚不作为通用语义接近目标；它们仍可通过感知链路作为导航障碍处理。</w:t>
      </w:r>
    </w:p>
    <w:p>
      <w:pPr>
        <w:pStyle w:val="Heading1"/>
        <w:pageBreakBefore/>
      </w:pPr>
      <w:r>
        <w:t>第二部分  ROS2集成与可靠执行</w:t>
      </w:r>
    </w:p>
    <w:p>
      <w:pPr>
        <w:pStyle w:val="Heading2"/>
      </w:pPr>
      <w:r>
        <w:t>9  并发与结果管理</w:t>
      </w:r>
    </w:p>
    <w:p>
      <w:r>
        <w:t>网络请求由受限后台工作线程处理，ROS主线程负责服务和动作调用，避免API等待阻塞心跳、状态查询与停止。模型一次给出多个工具时，程序先检查整批调用，再按顺序执行。运动类工具必须等待真实导航结果，不能在仅收到“接受目标”后就宣告完成并执行下一段。</w:t>
      </w:r>
    </w:p>
    <w:p>
      <w:r>
        <w:t>每轮任务绑定会话和停止代次。用户停止、终端退出或心跳失联时，旧网络响应和旧动作结果不会重新启动任务。近期记忆保存工具名称、参数和真实返回结果，较长内容按整轮压缩或移除，避免留下没有对应结果的工具调用。</w:t>
      </w:r>
    </w:p>
    <w:p>
      <w:pPr>
        <w:pStyle w:val="Heading2"/>
      </w:pPr>
      <w:r>
        <w:t>10  本地校验与执行约束</w:t>
      </w:r>
    </w:p>
    <w:p>
      <w:r>
        <w:t>工具参数采用封闭字段结构，拒绝未知工具、额外字段、重复字段、非有限数值和不完整响应。导航目标还需通过既有坐标与可达性检查；保存地点遵循地图身份绑定和原子写入；删除多个地点时，先验证全部名称，再统一保存，避免操作只完成一半。</w:t>
      </w:r>
    </w:p>
    <w:p>
      <w:r>
        <w:t>“开启导航”“停止”“查询状态”“帮助”和同名覆盖确认等命令在本地优先处理。模型没有开启导航或解除停止锁定的工具。同名地点覆盖必须由用户明确确认，不能由模型伪造确认。一个任务执行中暂不接受另一个自由任务，用户可等待或先停止。</w:t>
      </w:r>
    </w:p>
    <w:p>
      <w:r>
        <w:t>运动失败后，原有链路先完成停止与清理，后台再把失败原因返回模型。本轮之后只允许查询和解释，不能自动继续排队运动或修改地点。这样的失败处理是当前实现的明确边界；“失败后跳过并继续巡检”等更复杂策略尚需后续专门设计。</w:t>
      </w:r>
    </w:p>
    <w:p>
      <w:pPr>
        <w:pStyle w:val="Heading2"/>
      </w:pPr>
      <w:r>
        <w:t>11  运行边界与启动方式</w:t>
      </w:r>
    </w:p>
    <w:p>
      <w:r>
        <w:t>一组任务最多24次运动、32次模型请求、64次工具调用、20分钟实际时间。单次HTTP设置本机30秒期限，迟到响应不再执行。任务不是无限自主运行，也不会因为模型文字要求而放宽机器人保护轮廓。</w:t>
      </w:r>
    </w:p>
    <w:p>
      <w:r>
        <w:t>终端1依次执行：</w:t>
      </w:r>
    </w:p>
    <w:p>
      <w:r>
        <w:t>source /opt/ros/jazzy/setup.bash</w:t>
      </w:r>
    </w:p>
    <w:p>
      <w:r>
        <w:t>source /home/ma/lite3_ws/install/setup.bash</w:t>
      </w:r>
    </w:p>
    <w:p>
      <w:r>
        <w:t>ros2 launch lite3_navigation bringup.launch.py ai_control:=true language_mode:=deepseek</w:t>
      </w:r>
    </w:p>
    <w:p>
      <w:r>
        <w:t>终端2加载同样环境后执行 ros2 run lite3_navigation ai_console。界面连接成功后先输入“开启导航”，等待成功，再提交自然语言任务。rules模式不调用API；agent_tools:=false可用于对照旧单动作解析入口。</w:t>
      </w:r>
    </w:p>
    <w:p>
      <w:pPr>
        <w:pStyle w:val="Heading1"/>
        <w:pageBreakBefore/>
      </w:pPr>
      <w:r>
        <w:t>第二部分  验证结果与阶段成果</w:t>
      </w:r>
    </w:p>
    <w:p>
      <w:pPr>
        <w:pStyle w:val="Heading2"/>
      </w:pPr>
      <w:r>
        <w:t>12  已完成的验证</w:t>
      </w:r>
    </w:p>
    <w:tbl>
      <w:tblPr>
        <w:tblW w:type="auto" w:w="0"/>
        <w:jc w:val="center"/>
        <w:tblLayout w:type="fixed"/>
        <w:tblLook w:firstColumn="1" w:firstRow="1" w:lastColumn="0" w:lastRow="0" w:noHBand="0" w:noVBand="1" w:val="04A0"/>
      </w:tblPr>
      <w:tblGrid>
        <w:gridCol w:w="1928"/>
        <w:gridCol w:w="4535"/>
        <w:gridCol w:w="3402"/>
      </w:tblGrid>
      <w:tr>
        <w:trPr>
          <w:cantSplit/>
          <w:tblHeader/>
        </w:trPr>
        <w:tc>
          <w:tcPr>
            <w:tcW w:type="dxa" w:w="1928"/>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验证类别</w:t>
            </w:r>
          </w:p>
        </w:tc>
        <w:tc>
          <w:tcPr>
            <w:tcW w:type="dxa" w:w="4535"/>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范围与结果</w:t>
            </w:r>
          </w:p>
        </w:tc>
        <w:tc>
          <w:tcPr>
            <w:tcW w:type="dxa" w:w="3402"/>
            <w:vAlign w:val="center"/>
            <w:shd w:fill="DCE6F1"/>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sz w:val="18"/>
              </w:rPr>
              <w:t>能够说明的问题</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离线单元检查</w:t>
            </w:r>
          </w:p>
        </w:tc>
        <w:tc>
          <w:tcPr>
            <w:tcW w:type="dxa" w:w="453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89项检查通过，覆盖工具校验、地点、环境、几何、语言上下文及工作线程。</w:t>
            </w:r>
          </w:p>
        </w:tc>
        <w:tc>
          <w:tcPr>
            <w:tcW w:type="dxa" w:w="340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基础数据和边界校验逻辑得到覆盖。</w:t>
            </w:r>
          </w:p>
        </w:tc>
      </w:tr>
      <w:tr>
        <w:trPr>
          <w:cantSplit/>
        </w:trPr>
        <w:tc>
          <w:tcPr>
            <w:tcW w:type="dxa" w:w="192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已安装后台协议验证</w:t>
            </w:r>
          </w:p>
        </w:tc>
        <w:tc>
          <w:tcPr>
            <w:tcW w:type="dxa" w:w="453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模型替身与导航替身完成8项场景检查，包括多步执行、上下文、删除、停止、失败与失联。</w:t>
            </w:r>
          </w:p>
        </w:tc>
        <w:tc>
          <w:tcPr>
            <w:tcW w:type="dxa" w:w="340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工具协议、先后顺序和取消后的防迟到机制可工作。</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真实Gazebo与Smac隔离验证</w:t>
            </w:r>
          </w:p>
        </w:tc>
        <w:tc>
          <w:tcPr>
            <w:tcW w:type="dxa" w:w="4535"/>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完成东墙→货架1→出发处的连续候选规划；使用合成地图与TF、静态和膨胀层、NavigateTask替身。</w:t>
            </w:r>
          </w:p>
        </w:tc>
        <w:tc>
          <w:tcPr>
            <w:tcW w:type="dxa" w:w="3402"/>
            <w:vAlign w:val="center"/>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几何候选与真实规划器接口可以衔接。</w:t>
            </w:r>
          </w:p>
        </w:tc>
      </w:tr>
      <w:tr>
        <w:trPr>
          <w:cantSplit/>
        </w:trPr>
        <w:tc>
          <w:tcPr>
            <w:tcW w:type="dxa" w:w="1928"/>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原入口回归</w:t>
            </w:r>
          </w:p>
        </w:tc>
        <w:tc>
          <w:tcPr>
            <w:tcW w:type="dxa" w:w="4535"/>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旧DeepSeek解析、rules交互与物体接近协议回归通过。</w:t>
            </w:r>
          </w:p>
        </w:tc>
        <w:tc>
          <w:tcPr>
            <w:tcW w:type="dxa" w:w="3402"/>
            <w:vAlign w:val="center"/>
            <w:shd w:fill="F5F7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40" w:lineRule="exact"/>
            </w:pPr>
            <w:r>
              <w:rPr>
                <w:b w:val="0"/>
                <w:sz w:val="18"/>
              </w:rPr>
              <w:t>新模块没有要求废弃原有交互与导航入口。</w:t>
            </w:r>
          </w:p>
        </w:tc>
      </w:tr>
    </w:tbl>
    <w:p>
      <w:pPr>
        <w:spacing w:after="0" w:line="120" w:lineRule="exact" w:before="0"/>
      </w:pPr>
      <w:r>
        <w:rPr>
          <w:sz w:val="4"/>
        </w:rPr>
      </w:r>
    </w:p>
    <w:p>
      <w:r>
        <w:t>以上工具闭环验证没有调用真实DeepSeek API，没有运行机器狗RL的完整实际行走，也没有覆盖默认三维感知层下的所有运动情况。因此，不能据此声称在线模型对任意语言都能正确理解，或完整导航成功率已经达到某个数值。</w:t>
      </w:r>
    </w:p>
    <w:p>
      <w:pPr>
        <w:pStyle w:val="Heading2"/>
      </w:pPr>
      <w:r>
        <w:t>13  当前已具备的功能</w:t>
      </w:r>
    </w:p>
    <w:p>
      <w:r>
        <w:t>系统支持查询环境与机器人状态、按名称或坐标导航、接近已知固定物体、保存和删除地点、修改语义标注，以及多个导航步骤的顺序组织。模型可利用当前目录与近期工具结果理解新表述和上下文，而非要求为整句话逐条编写固定映射。实际是否到达由Action结果确认，最终执行记录由程序生成。</w:t>
      </w:r>
    </w:p>
    <w:p>
      <w:pPr>
        <w:pStyle w:val="Heading2"/>
      </w:pPr>
      <w:r>
        <w:t>14  后续验收设计</w:t>
      </w:r>
    </w:p>
    <w:p>
      <w:r>
        <w:t>建议以固定任务集开展真实API与完整Gazebo加RL链路测试：环境查询、东墙与货架名称对应、含指代的后续任务、多物体顺序访问、回家与回任务起点区别、未知对象追问、障碍受阻、网络等待时停止、终端断连和同名覆盖。</w:t>
      </w:r>
    </w:p>
    <w:p>
      <w:r>
        <w:t>分别记录对象匹配正确率、完整任务成功率、端到端耗时、停止响应时间、错误执行次数与每任务API调用量。比较rules、旧单动作JSON与工具闭环三种入口，区分语言理解失败、工具参数失败、规划失败和运动失败，避免把底层控制问题全部归因于模型。</w:t>
      </w:r>
    </w:p>
    <w:p>
      <w:pPr>
        <w:pStyle w:val="Heading1"/>
        <w:pageBreakBefore/>
      </w:pPr>
      <w:r>
        <w:t>第二部分  总结与后续工作</w:t>
      </w:r>
    </w:p>
    <w:p>
      <w:pPr>
        <w:pStyle w:val="Heading2"/>
      </w:pPr>
      <w:r>
        <w:t>15  阶段总结</w:t>
      </w:r>
    </w:p>
    <w:p>
      <w:r>
        <w:t>本阶段在已有四足机器人导航系统上增加了环境感知的自然语言任务层。主要工作不是让大模型接管命令行，而是建立“语言理解、环境对象、受约束工具、ROS2执行、真实反馈”的衔接过程。语义目录把用户表达关联到实际场景对象；几何与规划预检把“物体旁边”转为可执行位置；Action反馈将任务是否成功返回模型，形成有边界的执行闭环。</w:t>
      </w:r>
    </w:p>
    <w:p>
      <w:r>
        <w:t>从ROS2课程角度看，该模块综合使用节点、发布订阅、服务、动作、参数、TF、Launch与QoS。它复用原有导航系统，而不是另建运动链路。工具调用是上层能力组织方式，ROS2通信接口是底层执行机制，二者职责清晰。</w:t>
      </w:r>
    </w:p>
    <w:p>
      <w:pPr>
        <w:pStyle w:val="Heading2"/>
      </w:pPr>
      <w:r>
        <w:t>16  局限与后续方向</w:t>
      </w:r>
    </w:p>
    <w:p>
      <w:r>
        <w:t>当前语义信息来自场景模型和人工标注，不属于摄像头语义识别；“巡检”目前指到点访问与结果记录，不包含设备异常检测。对话记忆仅为短期内存，不是长期用户记忆。系统尚未实现SLAM、抓取、移动目标追踪或任意动态物体的语义接近。</w:t>
      </w:r>
    </w:p>
    <w:p>
      <w:r>
        <w:t>后续首先完成真实模型和全链路验收，再扩展任务策略：由用户指定等待、跳过或返回条件，执行器严格限制可选分支，模型依据真实结果组织后续步骤。进一步可引入图像识别或设备状态传感器，使“检查货架”从位置访问扩展为有明确观测结果的检查任务。</w:t>
      </w:r>
    </w:p>
    <w:p>
      <w:r>
        <w:t>环境语义与几何地图应继续独立管理。新增对象时明确其来源、位置有效性与可接近几何；动态物体仍主要交给感知与局部避障处理。自然语言任务层不负责毫秒级避障，也不应通过缩小保护范围、解除停止锁定等方式强行完成任务。</w:t>
      </w:r>
    </w:p>
    <w:p>
      <w:pPr>
        <w:pStyle w:val="Heading2"/>
      </w:pPr>
      <w:r>
        <w:t>17  项目实现依据</w:t>
      </w:r>
    </w:p>
    <w:p>
      <w:r>
        <w:t>本章对应2026年10月20日的本地实现。以下项目文件可用于核对接口、算法边界与验证结果：</w:t>
      </w:r>
    </w:p>
    <w:p>
      <w:r>
        <w:t>项目说明：/home/ma/lite3_ws/docs/AI_TOOL_AGENT.md</w:t>
      </w:r>
    </w:p>
    <w:p>
      <w:r>
        <w:t>后台与终端：src/lite3_navigation/scripts/interaction_backend.py、ai_console.py</w:t>
      </w:r>
    </w:p>
    <w:p>
      <w:r>
        <w:t>工具协议与执行：同目录agent_tools.py、deepseek_agent.py、agent_runtime.py</w:t>
      </w:r>
    </w:p>
    <w:p>
      <w:r>
        <w:t>环境与几何：同目录environment_catalog.py、environment_reader.py、approach_geometry.py、approach_executor.py</w:t>
      </w:r>
    </w:p>
    <w:p>
      <w:r>
        <w:t>动作定义：src/lite3_interfaces/action/NavigateTask.action</w:t>
      </w:r>
    </w:p>
    <w:p>
      <w:r>
        <w:t>启动配置：src/lite3_navigation/launch/bringup.launch.py</w:t>
      </w:r>
    </w:p>
    <w:p>
      <w:r>
        <w:t>验证记录：docs/development_history/evidence/agent_tools_2026-10-20/</w:t>
      </w:r>
    </w:p>
    <w:p>
      <w:r>
        <w:t>除项目说明中的绝对路径外，上述源码与验证目录均相对于 /home/ma/lite3_ws。DeepSeek原生工具调用协议参考官方文档 https://api-docs.deepseek.com/guides/tool_calls/ 。</w:t>
      </w:r>
    </w:p>
    <w:sectPr w:rsidR="00FC693F" w:rsidRPr="0006063C" w:rsidSect="00034616">
      <w:footerReference w:type="default" r:id="rId9"/>
      <w:pgSz w:w="11906" w:h="16838"/>
      <w:pgMar w:top="992"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Lite3 大语言模型接入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Noto Sans CJK SC" w:hAnsi="Noto Sans CJK SC"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oto Sans CJK SC" w:hAnsi="Noto Sans CJK SC" w:eastAsia="Noto Sans CJK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