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spacing w:val="-2"/>
          <w:w w:val="95"/>
          <w:kern w:val="0"/>
          <w:sz w:val="24"/>
          <w:lang w:eastAsia="en-US"/>
        </w:rPr>
        <w:t>三、简答题</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近代工业化前，二战无线通信，1946年世界上第一台电子计算机ENIAC诞生，大型机与操作系统的出现，微计算机时代及其应用，80年代互联网高速发展，Web应用成为主流，电子商务兴起，Web2.0，新通信、社交模式，工业、社会基础设施全面信息化，网络战争的到来，新业态元宇宙、信息物理系统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现代信息安全在其发展过程中大致经历了五个阶段：通信安全阶段，信息安全阶段，信息保障阶段，网络战、网络空间安全阶段。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用户 A 需要通过计算机网络安全地将一份机密文件传送给用户 B，这份机密文件数据规模极其庞大，B 希望 A 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1.ARP攻击仅能被用于本地局域网的地址伪造，攻击者必须已经获得网络中某台机器的访问权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场景：利用公共网络来构建的私人专用网络VPN，在公共网络上组建的VPN像企业现有的内部局域网一样提供安全性、可靠性和可管理性等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本质上是一个具有计算、存储与密码运算能力的安全芯片SoC（System on Chip），存储了所保护目标的摘要信息，具有摘要，加密，密码生成管理等计算能力；TPM不仅提供了系统的镜像、还支持认证功能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