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spacing w:val="-2"/>
          <w:w w:val="95"/>
          <w:kern w:val="0"/>
          <w:sz w:val="24"/>
          <w:lang w:eastAsia="en-US"/>
        </w:rPr>
        <w:t>三、简答题</w:t>
      </w:r>
    </w:p>
    <w:p>
      <w:r>
        <w:t>（一）本题共十道简答题，请按要求作答。</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现代信息安全在其发展过程中大致经历了四个主要阶段：通信安全阶段，信息安全阶段，信息保障阶段，网络战、网络空间安全阶段。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统一强制执行内部网与外部网之间的访问控制策略。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p>
      <w:r>
        <w:t>【总结】信息安全的本质是在攻防对抗中保障机密性、完整性、可用性。</w:t>
      </w:r>
    </w:p>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