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Arial" w:hAnsi="Arial"/>
          <w:b/>
          <w:color w:val="31577D"/>
          <w:sz w:val="18"/>
        </w:rPr>
        <w:t>ZED FINANCIAL</w:t>
      </w:r>
    </w:p>
    <w:p>
      <w:pPr>
        <w:pStyle w:val="Title"/>
      </w:pPr>
      <w:r>
        <w:t>OUSD Counterparty &amp; Counsel Open Questions Tracker</w:t>
      </w:r>
    </w:p>
    <w:p>
      <w:pPr>
        <w:pStyle w:val="Subtitle"/>
      </w:pPr>
      <w:r>
        <w:t>Critical confirmations required to move working regulatory assumptions into launch-ready facts</w:t>
      </w:r>
    </w:p>
    <w:tbl>
      <w:tblPr>
        <w:tblW w:type="auto" w:w="0"/>
        <w:jc w:val="left"/>
        <w:tblLayout w:type="fixed"/>
        <w:tblLook w:firstColumn="1" w:firstRow="1" w:lastColumn="0" w:lastRow="0" w:noHBand="0" w:noVBand="1" w:val="04A0"/>
      </w:tblPr>
      <w:tblGrid>
        <w:gridCol w:w="4997"/>
        <w:gridCol w:w="4997"/>
      </w:tblGrid>
      <w:tr>
        <w:tc>
          <w:tcPr>
            <w:tcW w:type="dxa" w:w="1872"/>
            <w:tcMar>
              <w:top w:w="70" w:type="dxa"/>
              <w:start w:w="90" w:type="dxa"/>
              <w:bottom w:w="70" w:type="dxa"/>
              <w:end w:w="90" w:type="dxa"/>
            </w:tcMar>
            <w:vAlign w:val="center"/>
            <w:shd w:fill="EFF3F7"/>
          </w:tcPr>
          <w:p>
            <w:r>
              <w:rPr>
                <w:rFonts w:ascii="Arial" w:hAnsi="Arial"/>
                <w:b/>
                <w:color w:val="1F344E"/>
                <w:sz w:val="18"/>
              </w:rPr>
              <w:t>Status</w:t>
            </w:r>
          </w:p>
        </w:tc>
        <w:tc>
          <w:tcPr>
            <w:tcW w:type="dxa" w:w="8208"/>
            <w:tcMar>
              <w:top w:w="70" w:type="dxa"/>
              <w:start w:w="90" w:type="dxa"/>
              <w:bottom w:w="70" w:type="dxa"/>
              <w:end w:w="90" w:type="dxa"/>
            </w:tcMar>
            <w:vAlign w:val="center"/>
          </w:tcPr>
          <w:p>
            <w:r>
              <w:rPr>
                <w:rFonts w:ascii="Arial" w:hAnsi="Arial"/>
                <w:sz w:val="18"/>
              </w:rPr>
              <w:t>CONFIDENTIAL - WORKING DRAFT</w:t>
            </w:r>
          </w:p>
        </w:tc>
      </w:tr>
      <w:tr>
        <w:tc>
          <w:tcPr>
            <w:tcW w:type="dxa" w:w="1872"/>
            <w:tcMar>
              <w:top w:w="70" w:type="dxa"/>
              <w:start w:w="90" w:type="dxa"/>
              <w:bottom w:w="70" w:type="dxa"/>
              <w:end w:w="90" w:type="dxa"/>
            </w:tcMar>
            <w:vAlign w:val="center"/>
            <w:shd w:fill="EFF3F7"/>
          </w:tcPr>
          <w:p>
            <w:r>
              <w:rPr>
                <w:rFonts w:ascii="Arial" w:hAnsi="Arial"/>
                <w:b/>
                <w:color w:val="1F344E"/>
                <w:sz w:val="18"/>
              </w:rPr>
              <w:t>Date</w:t>
            </w:r>
          </w:p>
        </w:tc>
        <w:tc>
          <w:tcPr>
            <w:tcW w:type="dxa" w:w="8208"/>
            <w:tcMar>
              <w:top w:w="70" w:type="dxa"/>
              <w:start w:w="90" w:type="dxa"/>
              <w:bottom w:w="70" w:type="dxa"/>
              <w:end w:w="90" w:type="dxa"/>
            </w:tcMar>
            <w:vAlign w:val="center"/>
          </w:tcPr>
          <w:p>
            <w:r>
              <w:rPr>
                <w:rFonts w:ascii="Arial" w:hAnsi="Arial"/>
                <w:sz w:val="18"/>
              </w:rPr>
              <w:t>28 August 2026</w:t>
            </w:r>
          </w:p>
        </w:tc>
      </w:tr>
    </w:tbl>
    <w:p/>
    <w:tbl>
      <w:tblPr>
        <w:tblW w:type="auto" w:w="0"/>
        <w:jc w:val="left"/>
        <w:tblLayout w:type="fixed"/>
        <w:tblLook w:firstColumn="1" w:firstRow="1" w:lastColumn="0" w:lastRow="0" w:noHBand="0" w:noVBand="1" w:val="04A0"/>
      </w:tblPr>
      <w:tblGrid>
        <w:gridCol w:w="9994"/>
      </w:tblGrid>
      <w:tr>
        <w:tc>
          <w:tcPr>
            <w:tcW w:type="dxa" w:w="9864"/>
            <w:shd w:fill="EAF1F7"/>
            <w:tcMar>
              <w:top w:w="120" w:type="dxa"/>
              <w:start w:w="150" w:type="dxa"/>
              <w:bottom w:w="120" w:type="dxa"/>
              <w:end w:w="150" w:type="dxa"/>
            </w:tcMar>
          </w:tcPr>
          <w:p>
            <w:r>
              <w:rPr>
                <w:rFonts w:ascii="Arial" w:hAnsi="Arial"/>
                <w:b/>
                <w:color w:val="1F344E"/>
                <w:sz w:val="20"/>
              </w:rPr>
              <w:t xml:space="preserve">How to use this tracker.  </w:t>
            </w:r>
            <w:r>
              <w:rPr>
                <w:rFonts w:ascii="Arial" w:hAnsi="Arial"/>
                <w:color w:val="212529"/>
                <w:sz w:val="19"/>
              </w:rPr>
              <w:t>The policy memo and PRD handoff intentionally proceed on working assumptions. This tracker is the source of truth for closing those assumptions. “Launch blocker” means the answer must be confirmed before external customer launch; “Pilot blocker” means it must be confirmed before any real-money external pilot.</w:t>
            </w:r>
          </w:p>
        </w:tc>
      </w:tr>
    </w:tbl>
    <w:p>
      <w:pPr>
        <w:spacing w:after="0"/>
      </w:pPr>
    </w:p>
    <w:p>
      <w:pPr>
        <w:pStyle w:val="Heading1"/>
      </w:pPr>
      <w:r>
        <w:t>1. Bridge / Open Standard</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664"/>
            <w:shd w:fill="1F344E"/>
            <w:tcMar>
              <w:top w:w="90" w:type="dxa"/>
              <w:start w:w="90" w:type="dxa"/>
              <w:bottom w:w="90" w:type="dxa"/>
              <w:end w:w="90" w:type="dxa"/>
            </w:tcMar>
            <w:vAlign w:val="center"/>
          </w:tcPr>
          <w:p>
            <w:pPr>
              <w:jc w:val="left"/>
            </w:pPr>
            <w:r>
              <w:rPr>
                <w:rFonts w:ascii="Arial" w:hAnsi="Arial"/>
                <w:b/>
                <w:color w:val="FFFFFF"/>
                <w:sz w:val="15"/>
              </w:rPr>
              <w:t>Question</w:t>
            </w:r>
          </w:p>
        </w:tc>
        <w:tc>
          <w:tcPr>
            <w:tcW w:type="dxa" w:w="2520"/>
            <w:shd w:fill="1F344E"/>
            <w:tcMar>
              <w:top w:w="90" w:type="dxa"/>
              <w:start w:w="90" w:type="dxa"/>
              <w:bottom w:w="90" w:type="dxa"/>
              <w:end w:w="90" w:type="dxa"/>
            </w:tcMar>
            <w:vAlign w:val="center"/>
          </w:tcPr>
          <w:p>
            <w:pPr>
              <w:jc w:val="left"/>
            </w:pPr>
            <w:r>
              <w:rPr>
                <w:rFonts w:ascii="Arial" w:hAnsi="Arial"/>
                <w:b/>
                <w:color w:val="FFFFFF"/>
                <w:sz w:val="15"/>
              </w:rPr>
              <w:t>Why it matters</w:t>
            </w:r>
          </w:p>
        </w:tc>
        <w:tc>
          <w:tcPr>
            <w:tcW w:type="dxa" w:w="2088"/>
            <w:shd w:fill="1F344E"/>
            <w:tcMar>
              <w:top w:w="90" w:type="dxa"/>
              <w:start w:w="90" w:type="dxa"/>
              <w:bottom w:w="90" w:type="dxa"/>
              <w:end w:w="90" w:type="dxa"/>
            </w:tcMar>
            <w:vAlign w:val="center"/>
          </w:tcPr>
          <w:p>
            <w:pPr>
              <w:jc w:val="left"/>
            </w:pPr>
            <w:r>
              <w:rPr>
                <w:rFonts w:ascii="Arial" w:hAnsi="Arial"/>
                <w:b/>
                <w:color w:val="FFFFFF"/>
                <w:sz w:val="15"/>
              </w:rPr>
              <w:t>Working assumption</w:t>
            </w:r>
          </w:p>
        </w:tc>
        <w:tc>
          <w:tcPr>
            <w:tcW w:type="dxa" w:w="1080"/>
            <w:shd w:fill="1F344E"/>
            <w:tcMar>
              <w:top w:w="90" w:type="dxa"/>
              <w:start w:w="90" w:type="dxa"/>
              <w:bottom w:w="90" w:type="dxa"/>
              <w:end w:w="90" w:type="dxa"/>
            </w:tcMar>
            <w:vAlign w:val="center"/>
          </w:tcPr>
          <w:p>
            <w:pPr>
              <w:jc w:val="left"/>
            </w:pPr>
            <w:r>
              <w:rPr>
                <w:rFonts w:ascii="Arial" w:hAnsi="Arial"/>
                <w:b/>
                <w:color w:val="FFFFFF"/>
                <w:sz w:val="15"/>
              </w:rPr>
              <w:t>Gate</w:t>
            </w:r>
          </w:p>
        </w:tc>
        <w:tc>
          <w:tcPr>
            <w:tcW w:type="dxa" w:w="1512"/>
            <w:shd w:fill="1F344E"/>
            <w:tcMar>
              <w:top w:w="90" w:type="dxa"/>
              <w:start w:w="90" w:type="dxa"/>
              <w:bottom w:w="90" w:type="dxa"/>
              <w:end w:w="90" w:type="dxa"/>
            </w:tcMar>
            <w:vAlign w:val="center"/>
          </w:tcPr>
          <w:p>
            <w:pPr>
              <w:jc w:val="left"/>
            </w:pPr>
            <w:r>
              <w:rPr>
                <w:rFonts w:ascii="Arial" w:hAnsi="Arial"/>
                <w:b/>
                <w:color w:val="FFFFFF"/>
                <w:sz w:val="15"/>
              </w:rPr>
              <w:t>Status / owner / answer</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Legal OUSD issuer — Who is the legal issuer of OUSD and who owes the 1:1 redemption obligation?</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Issuer identity drives BSP issuer-offer argument, SEC offeror analysis, disclosures and counterparty diligence.</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Bridge/Open Standard issuance stack has an identified regulated issuer of record.</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Primary mint — For a Zed end-user on-ramp, is each OUSD acquisition a fresh primary mint rather than a transfer of existing inventory?</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Central to BSP issuer-offer/sale position.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 - transaction is primary issuance.</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Direct mint address — Can a Zed-funded mint deliver OUSD directly to an arbitrary user-owned Privy address?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Avoids Zed receipt/custody/transfer of customer OUSD.</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Prefunded USD — Can Zed use one prefunded/master USD balance to fund multiple end-user OUSD mints?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Separates customer issuance from customer-specific FX.</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Customer attribution — Can every mint/redemption carry Bridge customer_id / on_behalf_of attribution while Zed remains the API customer/counterparty?</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Needed for compliance, reconciliation and BSP M-2026-003 posture.</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Retail relationship — Does Bridge require the PH end user to become a direct Bridge service customer, or can customer records be compliance/attribution records under Zed’s relationship?</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Direct PH retail access to offshore VASPs is restricted by BSP M-2026-003.</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Bridge remains Zed infrastructure/counterparty; no direct Bridge retail interface.</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OUSD redemption route — Can OUSD be sent directly from the user’s Privy wallet to an issuer/Bridge redemption/burn address?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Avoids customer OUSD touching Zed.</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Redemption settlement — Can USD redemption proceeds settle to Zed’s prefunded/settlement account while the operation remains tied to the end user?</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Enables local PH payout after issuer-side VA redemption.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Liquidation address support — Does the generic liquidation-address / Transfer API support OUSD specifically, and on which chains?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Public docs are generic and OUSD-specific support is not explicit.</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OUSD has equivalent direct redemption API.</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Mint/burn chain semantics — Will on-chain activity show actual mint/burn rather than inventory transfers?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Supports factual primary-issuance/redemption characterization.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Mint/burn.</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Marketing Fee asset — What token/currency is the monthly Network Partner Marketing Fee paid in?</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Determines reward accounting and transfer design.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OUSD.</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Working assumption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Marketing Fee wallet — Can Zed designate a dedicated corporate payout wallet? Is it required to be Bridge/Privy-controlled?</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Separates Zed revenue from customer assets.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Dedicated Zed corporate wallet.</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Reward minting — Can Zed use earned value or prefunded USD to batch/incrementally mint reward OUSD directly to customer wallets?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Avoids recurring Zed-&gt;customer VA transfers.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Home-country licensing — What exact Bridge/issuer registrations/licenses apply to the issuance/orchestration functions used by Zed?</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BSP M-2026-003 requires BSFI diligence on offshore counterparties.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Appropriately licensed/authorized in home jurisdiction.</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Terms / disclosures — Which issuer/Bridge terms and risk disclosures must Zed surface to end users?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Required for SEC offering/consumer analysis and contractual allocation.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Issuer disclosures can be incorporated in Zed flow without creating direct offshore retail access.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bl>
    <w:p>
      <w:pPr>
        <w:spacing w:after="20"/>
      </w:pPr>
    </w:p>
    <w:p>
      <w:pPr>
        <w:pStyle w:val="Heading1"/>
      </w:pPr>
      <w:r>
        <w:t>2. Privy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664"/>
            <w:shd w:fill="1F344E"/>
            <w:tcMar>
              <w:top w:w="90" w:type="dxa"/>
              <w:start w:w="90" w:type="dxa"/>
              <w:bottom w:w="90" w:type="dxa"/>
              <w:end w:w="90" w:type="dxa"/>
            </w:tcMar>
            <w:vAlign w:val="center"/>
          </w:tcPr>
          <w:p>
            <w:pPr>
              <w:jc w:val="left"/>
            </w:pPr>
            <w:r>
              <w:rPr>
                <w:rFonts w:ascii="Arial" w:hAnsi="Arial"/>
                <w:b/>
                <w:color w:val="FFFFFF"/>
                <w:sz w:val="15"/>
              </w:rPr>
              <w:t>Question</w:t>
            </w:r>
          </w:p>
        </w:tc>
        <w:tc>
          <w:tcPr>
            <w:tcW w:type="dxa" w:w="2520"/>
            <w:shd w:fill="1F344E"/>
            <w:tcMar>
              <w:top w:w="90" w:type="dxa"/>
              <w:start w:w="90" w:type="dxa"/>
              <w:bottom w:w="90" w:type="dxa"/>
              <w:end w:w="90" w:type="dxa"/>
            </w:tcMar>
            <w:vAlign w:val="center"/>
          </w:tcPr>
          <w:p>
            <w:pPr>
              <w:jc w:val="left"/>
            </w:pPr>
            <w:r>
              <w:rPr>
                <w:rFonts w:ascii="Arial" w:hAnsi="Arial"/>
                <w:b/>
                <w:color w:val="FFFFFF"/>
                <w:sz w:val="15"/>
              </w:rPr>
              <w:t>Why it matters</w:t>
            </w:r>
          </w:p>
        </w:tc>
        <w:tc>
          <w:tcPr>
            <w:tcW w:type="dxa" w:w="2088"/>
            <w:shd w:fill="1F344E"/>
            <w:tcMar>
              <w:top w:w="90" w:type="dxa"/>
              <w:start w:w="90" w:type="dxa"/>
              <w:bottom w:w="90" w:type="dxa"/>
              <w:end w:w="90" w:type="dxa"/>
            </w:tcMar>
            <w:vAlign w:val="center"/>
          </w:tcPr>
          <w:p>
            <w:pPr>
              <w:jc w:val="left"/>
            </w:pPr>
            <w:r>
              <w:rPr>
                <w:rFonts w:ascii="Arial" w:hAnsi="Arial"/>
                <w:b/>
                <w:color w:val="FFFFFF"/>
                <w:sz w:val="15"/>
              </w:rPr>
              <w:t>Working assumption</w:t>
            </w:r>
          </w:p>
        </w:tc>
        <w:tc>
          <w:tcPr>
            <w:tcW w:type="dxa" w:w="1080"/>
            <w:shd w:fill="1F344E"/>
            <w:tcMar>
              <w:top w:w="90" w:type="dxa"/>
              <w:start w:w="90" w:type="dxa"/>
              <w:bottom w:w="90" w:type="dxa"/>
              <w:end w:w="90" w:type="dxa"/>
            </w:tcMar>
            <w:vAlign w:val="center"/>
          </w:tcPr>
          <w:p>
            <w:pPr>
              <w:jc w:val="left"/>
            </w:pPr>
            <w:r>
              <w:rPr>
                <w:rFonts w:ascii="Arial" w:hAnsi="Arial"/>
                <w:b/>
                <w:color w:val="FFFFFF"/>
                <w:sz w:val="15"/>
              </w:rPr>
              <w:t>Gate</w:t>
            </w:r>
          </w:p>
        </w:tc>
        <w:tc>
          <w:tcPr>
            <w:tcW w:type="dxa" w:w="1512"/>
            <w:shd w:fill="1F344E"/>
            <w:tcMar>
              <w:top w:w="90" w:type="dxa"/>
              <w:start w:w="90" w:type="dxa"/>
              <w:bottom w:w="90" w:type="dxa"/>
              <w:end w:w="90" w:type="dxa"/>
            </w:tcMar>
            <w:vAlign w:val="center"/>
          </w:tcPr>
          <w:p>
            <w:pPr>
              <w:jc w:val="left"/>
            </w:pPr>
            <w:r>
              <w:rPr>
                <w:rFonts w:ascii="Arial" w:hAnsi="Arial"/>
                <w:b/>
                <w:color w:val="FFFFFF"/>
                <w:sz w:val="15"/>
              </w:rPr>
              <w:t>Status / owner / answer</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User ownership — Can wallets be configured so the user is the sole owner with exclusive owner permissions?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Self-custody / no-control analysis.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User is sole owner.</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No Zed signer — Can Zed operate the intended UX without any server authorization key or signer capable of unilateral transactions?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Avoids custody/control characterization.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Export / recovery — Can every user recover/export wallet control outside Zed?</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Substantive self-custody; resilience if Zed relationship ends.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Open-loop send/receive — Can customers send to and receive from arbitrary OUSD addresses with user signature?</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Supports open-loop wallet truthfulness.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Direct redemption signing — Can user sign directly to Bridge/OUSD redemption address from the embedded wallet?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Required off-ramp architecture.</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Policy controls — Which optional policies can Zed apply without obtaining unilateral asset control?</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Need AML/risk controls without undermining self-custody.</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Only user-approved or non-custodial controls.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External wallet interoperability — What is the practical user flow after export for the selected chain / smart-wallet model?</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Must avoid claiming portability that is only theoretical.</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Usable with external wallet tooling.</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bl>
    <w:p>
      <w:pPr>
        <w:spacing w:after="20"/>
      </w:pPr>
    </w:p>
    <w:p>
      <w:pPr>
        <w:pStyle w:val="Heading1"/>
      </w:pPr>
      <w:r>
        <w:t>3. Netbank</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664"/>
            <w:shd w:fill="1F344E"/>
            <w:tcMar>
              <w:top w:w="90" w:type="dxa"/>
              <w:start w:w="90" w:type="dxa"/>
              <w:bottom w:w="90" w:type="dxa"/>
              <w:end w:w="90" w:type="dxa"/>
            </w:tcMar>
            <w:vAlign w:val="center"/>
          </w:tcPr>
          <w:p>
            <w:pPr>
              <w:jc w:val="left"/>
            </w:pPr>
            <w:r>
              <w:rPr>
                <w:rFonts w:ascii="Arial" w:hAnsi="Arial"/>
                <w:b/>
                <w:color w:val="FFFFFF"/>
                <w:sz w:val="15"/>
              </w:rPr>
              <w:t>Question</w:t>
            </w:r>
          </w:p>
        </w:tc>
        <w:tc>
          <w:tcPr>
            <w:tcW w:type="dxa" w:w="2520"/>
            <w:shd w:fill="1F344E"/>
            <w:tcMar>
              <w:top w:w="90" w:type="dxa"/>
              <w:start w:w="90" w:type="dxa"/>
              <w:bottom w:w="90" w:type="dxa"/>
              <w:end w:w="90" w:type="dxa"/>
            </w:tcMar>
            <w:vAlign w:val="center"/>
          </w:tcPr>
          <w:p>
            <w:pPr>
              <w:jc w:val="left"/>
            </w:pPr>
            <w:r>
              <w:rPr>
                <w:rFonts w:ascii="Arial" w:hAnsi="Arial"/>
                <w:b/>
                <w:color w:val="FFFFFF"/>
                <w:sz w:val="15"/>
              </w:rPr>
              <w:t>Why it matters</w:t>
            </w:r>
          </w:p>
        </w:tc>
        <w:tc>
          <w:tcPr>
            <w:tcW w:type="dxa" w:w="2088"/>
            <w:shd w:fill="1F344E"/>
            <w:tcMar>
              <w:top w:w="90" w:type="dxa"/>
              <w:start w:w="90" w:type="dxa"/>
              <w:bottom w:w="90" w:type="dxa"/>
              <w:end w:w="90" w:type="dxa"/>
            </w:tcMar>
            <w:vAlign w:val="center"/>
          </w:tcPr>
          <w:p>
            <w:pPr>
              <w:jc w:val="left"/>
            </w:pPr>
            <w:r>
              <w:rPr>
                <w:rFonts w:ascii="Arial" w:hAnsi="Arial"/>
                <w:b/>
                <w:color w:val="FFFFFF"/>
                <w:sz w:val="15"/>
              </w:rPr>
              <w:t>Working assumption</w:t>
            </w:r>
          </w:p>
        </w:tc>
        <w:tc>
          <w:tcPr>
            <w:tcW w:type="dxa" w:w="1080"/>
            <w:shd w:fill="1F344E"/>
            <w:tcMar>
              <w:top w:w="90" w:type="dxa"/>
              <w:start w:w="90" w:type="dxa"/>
              <w:bottom w:w="90" w:type="dxa"/>
              <w:end w:w="90" w:type="dxa"/>
            </w:tcMar>
            <w:vAlign w:val="center"/>
          </w:tcPr>
          <w:p>
            <w:pPr>
              <w:jc w:val="left"/>
            </w:pPr>
            <w:r>
              <w:rPr>
                <w:rFonts w:ascii="Arial" w:hAnsi="Arial"/>
                <w:b/>
                <w:color w:val="FFFFFF"/>
                <w:sz w:val="15"/>
              </w:rPr>
              <w:t>Gate</w:t>
            </w:r>
          </w:p>
        </w:tc>
        <w:tc>
          <w:tcPr>
            <w:tcW w:type="dxa" w:w="1512"/>
            <w:shd w:fill="1F344E"/>
            <w:tcMar>
              <w:top w:w="90" w:type="dxa"/>
              <w:start w:w="90" w:type="dxa"/>
              <w:bottom w:w="90" w:type="dxa"/>
              <w:end w:w="90" w:type="dxa"/>
            </w:tcMar>
            <w:vAlign w:val="center"/>
          </w:tcPr>
          <w:p>
            <w:pPr>
              <w:jc w:val="left"/>
            </w:pPr>
            <w:r>
              <w:rPr>
                <w:rFonts w:ascii="Arial" w:hAnsi="Arial"/>
                <w:b/>
                <w:color w:val="FFFFFF"/>
                <w:sz w:val="15"/>
              </w:rPr>
              <w:t>Status / owner / answer</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Dedicated collection VAs — Can Zed issue a second purpose-dedicated VA per user under existing arrangement?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Clean separation from card payment flows.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Collections legal capacity — Can the stablecoin collection account be documented as purpose-specific collection / settlement rather than customer deposit balance?</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Supports no-deposit/no-EMI and agency narrative.</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 / suitable contractual language available.</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PHP-&gt;USD treasury FX — Can Netbank execute corporate PHP/USD conversions for Zed? What accounts/limits/docs are required?</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Removes need for Coins in base flow.</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USD outbound funding — Can USD be sent from Zed/Netbank to Bridge settlement/prefunded arrangement, with acceptable timing/cost?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Operational treasury path.</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Disburse-to-Account — Confirm production scope, sandbox/credentials, limits, InstaPay/PESONet behavior.</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PH payout rail.</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Enabled.</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USD-&gt;PHP settlement support — Can Netbank receive USD redemption settlement and execute corporate conversion before PHP payout?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Further separates local fiat conversion from customer VA redemption.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Prefer 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Account segregation — Can stablecoin collection and payout floats be operationally segregated from general/card funds?</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Reconciliation and agency characterization.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bl>
    <w:p>
      <w:pPr>
        <w:spacing w:after="20"/>
      </w:pPr>
    </w:p>
    <w:p>
      <w:pPr>
        <w:pStyle w:val="Heading1"/>
      </w:pPr>
      <w:r>
        <w:t>4. Philippine counsel / Compliance</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664"/>
            <w:shd w:fill="1F344E"/>
            <w:tcMar>
              <w:top w:w="90" w:type="dxa"/>
              <w:start w:w="90" w:type="dxa"/>
              <w:bottom w:w="90" w:type="dxa"/>
              <w:end w:w="90" w:type="dxa"/>
            </w:tcMar>
            <w:vAlign w:val="center"/>
          </w:tcPr>
          <w:p>
            <w:pPr>
              <w:jc w:val="left"/>
            </w:pPr>
            <w:r>
              <w:rPr>
                <w:rFonts w:ascii="Arial" w:hAnsi="Arial"/>
                <w:b/>
                <w:color w:val="FFFFFF"/>
                <w:sz w:val="15"/>
              </w:rPr>
              <w:t>Question</w:t>
            </w:r>
          </w:p>
        </w:tc>
        <w:tc>
          <w:tcPr>
            <w:tcW w:type="dxa" w:w="2520"/>
            <w:shd w:fill="1F344E"/>
            <w:tcMar>
              <w:top w:w="90" w:type="dxa"/>
              <w:start w:w="90" w:type="dxa"/>
              <w:bottom w:w="90" w:type="dxa"/>
              <w:end w:w="90" w:type="dxa"/>
            </w:tcMar>
            <w:vAlign w:val="center"/>
          </w:tcPr>
          <w:p>
            <w:pPr>
              <w:jc w:val="left"/>
            </w:pPr>
            <w:r>
              <w:rPr>
                <w:rFonts w:ascii="Arial" w:hAnsi="Arial"/>
                <w:b/>
                <w:color w:val="FFFFFF"/>
                <w:sz w:val="15"/>
              </w:rPr>
              <w:t>Why it matters</w:t>
            </w:r>
          </w:p>
        </w:tc>
        <w:tc>
          <w:tcPr>
            <w:tcW w:type="dxa" w:w="2088"/>
            <w:shd w:fill="1F344E"/>
            <w:tcMar>
              <w:top w:w="90" w:type="dxa"/>
              <w:start w:w="90" w:type="dxa"/>
              <w:bottom w:w="90" w:type="dxa"/>
              <w:end w:w="90" w:type="dxa"/>
            </w:tcMar>
            <w:vAlign w:val="center"/>
          </w:tcPr>
          <w:p>
            <w:pPr>
              <w:jc w:val="left"/>
            </w:pPr>
            <w:r>
              <w:rPr>
                <w:rFonts w:ascii="Arial" w:hAnsi="Arial"/>
                <w:b/>
                <w:color w:val="FFFFFF"/>
                <w:sz w:val="15"/>
              </w:rPr>
              <w:t>Working assumption</w:t>
            </w:r>
          </w:p>
        </w:tc>
        <w:tc>
          <w:tcPr>
            <w:tcW w:type="dxa" w:w="1080"/>
            <w:shd w:fill="1F344E"/>
            <w:tcMar>
              <w:top w:w="90" w:type="dxa"/>
              <w:start w:w="90" w:type="dxa"/>
              <w:bottom w:w="90" w:type="dxa"/>
              <w:end w:w="90" w:type="dxa"/>
            </w:tcMar>
            <w:vAlign w:val="center"/>
          </w:tcPr>
          <w:p>
            <w:pPr>
              <w:jc w:val="left"/>
            </w:pPr>
            <w:r>
              <w:rPr>
                <w:rFonts w:ascii="Arial" w:hAnsi="Arial"/>
                <w:b/>
                <w:color w:val="FFFFFF"/>
                <w:sz w:val="15"/>
              </w:rPr>
              <w:t>Gate</w:t>
            </w:r>
          </w:p>
        </w:tc>
        <w:tc>
          <w:tcPr>
            <w:tcW w:type="dxa" w:w="1512"/>
            <w:shd w:fill="1F344E"/>
            <w:tcMar>
              <w:top w:w="90" w:type="dxa"/>
              <w:start w:w="90" w:type="dxa"/>
              <w:bottom w:w="90" w:type="dxa"/>
              <w:end w:w="90" w:type="dxa"/>
            </w:tcMar>
            <w:vAlign w:val="center"/>
          </w:tcPr>
          <w:p>
            <w:pPr>
              <w:jc w:val="left"/>
            </w:pPr>
            <w:r>
              <w:rPr>
                <w:rFonts w:ascii="Arial" w:hAnsi="Arial"/>
                <w:b/>
                <w:color w:val="FFFFFF"/>
                <w:sz w:val="15"/>
              </w:rPr>
              <w:t>Status / owner / answer</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BSP issuer-offer exclusion — Does Zed’s distributor/collection/settlement role fall within the M-Regulations exclusion for services related to an issuer’s offer/sale?</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Core no-VASP thesis.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 if primary issuance facts are preserved.</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Open-loop wallet transfers — Does providing UI for user-signed sends/receives make Zed a VASP “transfer” provider despite no custody/control?</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Residual VASP limb.</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No, if Zed is purely wallet software and user controls signing.</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Issuer redemption — How should direct issuer redemption be treated under BSP rules, which expressly mention issuer offer/sale but not redemption?</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Core off-ramp thesis.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Redemption remains issuer-side activity; Zed only handles downstream fiat settlement.</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FX / MC-FXD — Does the zero-spread, no-customer-USD, aggregate-treasury design keep Zed outside customer FX dealing?</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 separate FX authority.</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BSP M-2026-003 — Does Bridge customer_id/KYC attribution without a direct retail interface avoid prohibited “direct access” to an offshore VASP?</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Bridge is not PH-registered.</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Yes if Bridge remains Zed counterparty/infrastructure.</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SEC CASP classification — Is Zed an offeror, order transmitter/executor, or other CASP under MC 4?</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Principal remaining licensing perimeter.</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Material risk; seek SEC confirmation.</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CASP registration exemption — What is the process, timing, and evidentiary standard to seek exemption under MC 5?</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Preferred no-full-license path.</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Available and appropriate for narrow pilot/model.</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Crypto-asset offering — Who files the MC 4 Section 5 disclosure, or can OUSD/Zed obtain Section 5.5.4 relief?</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Separate from CASP registration.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Need issuer/Zed coordinated path.</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StratBox — Would SEC StratBox permit pilot testing with relief while exemption/interpretation is pending?</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Pilot fallback.</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Potentially yes.</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Pilot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OUSD as security — Does OUSD itself satisfy any SRC security/investment-contract test?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Would trigger separate registration requirements.</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No, assuming 1:1 redemption and no token-level yield right.</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Zed Rewards — Does separate variable Zed Rewards program change OUSD security analysis or create another regulated product?</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Marketing/rewards risk.</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No if clearly discretionary/separate and not token entitlement.</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EMI / deposit-taking — Does product create any Zed monetary-value liability or deposit-like relationship?</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Avoid EMI/deposit licensing.</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No.</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FCPA / disclosures — What specific crypto financial-consumer disclosures and suitability requirements apply to Zed?</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Consumer compliance.</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Applies; build into launch checklist.</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r>
        <w:trPr>
          <w:cantSplit w:val="true"/>
        </w:trPr>
        <w:tc>
          <w:tcPr>
            <w:tcW w:type="dxa" w:w="2664"/>
            <w:tcMar>
              <w:top w:w="88" w:type="dxa"/>
              <w:start w:w="90" w:type="dxa"/>
              <w:bottom w:w="88" w:type="dxa"/>
              <w:end w:w="90" w:type="dxa"/>
            </w:tcMar>
            <w:vAlign w:val="center"/>
          </w:tcPr>
          <w:p>
            <w:pPr>
              <w:spacing w:after="0" w:line="247" w:lineRule="auto"/>
            </w:pPr>
            <w:r>
              <w:rPr>
                <w:rFonts w:ascii="Arial" w:hAnsi="Arial"/>
                <w:color w:val="212529"/>
                <w:sz w:val="15"/>
              </w:rPr>
              <w:t>AMLC status / obligations — Does SEC CASP/offer activity change Zed’s covered-person registration or AML program obligations beyond existing BSFI framework?</w:t>
            </w:r>
          </w:p>
        </w:tc>
        <w:tc>
          <w:tcPr>
            <w:tcW w:type="dxa" w:w="2520"/>
            <w:tcMar>
              <w:top w:w="88" w:type="dxa"/>
              <w:start w:w="90" w:type="dxa"/>
              <w:bottom w:w="88" w:type="dxa"/>
              <w:end w:w="90" w:type="dxa"/>
            </w:tcMar>
            <w:vAlign w:val="center"/>
          </w:tcPr>
          <w:p>
            <w:pPr>
              <w:spacing w:after="0" w:line="247" w:lineRule="auto"/>
            </w:pPr>
            <w:r>
              <w:rPr>
                <w:rFonts w:ascii="Arial" w:hAnsi="Arial"/>
                <w:color w:val="212529"/>
                <w:sz w:val="15"/>
              </w:rPr>
              <w:t>Compliance implementation.</w:t>
            </w:r>
          </w:p>
        </w:tc>
        <w:tc>
          <w:tcPr>
            <w:tcW w:type="dxa" w:w="2088"/>
            <w:tcMar>
              <w:top w:w="88" w:type="dxa"/>
              <w:start w:w="90" w:type="dxa"/>
              <w:bottom w:w="88" w:type="dxa"/>
              <w:end w:w="90" w:type="dxa"/>
            </w:tcMar>
            <w:vAlign w:val="center"/>
          </w:tcPr>
          <w:p>
            <w:pPr>
              <w:spacing w:after="0" w:line="247" w:lineRule="auto"/>
            </w:pPr>
            <w:r>
              <w:rPr>
                <w:rFonts w:ascii="Arial" w:hAnsi="Arial"/>
                <w:color w:val="212529"/>
                <w:sz w:val="15"/>
              </w:rPr>
              <w:t>Needs confirmation.</w:t>
            </w:r>
          </w:p>
        </w:tc>
        <w:tc>
          <w:tcPr>
            <w:tcW w:type="dxa" w:w="1080"/>
            <w:tcMar>
              <w:top w:w="88" w:type="dxa"/>
              <w:start w:w="90" w:type="dxa"/>
              <w:bottom w:w="88" w:type="dxa"/>
              <w:end w:w="90" w:type="dxa"/>
            </w:tcMar>
            <w:vAlign w:val="center"/>
          </w:tcPr>
          <w:p>
            <w:pPr>
              <w:spacing w:after="0" w:line="247" w:lineRule="auto"/>
            </w:pPr>
            <w:r>
              <w:rPr>
                <w:rFonts w:ascii="Arial" w:hAnsi="Arial"/>
                <w:color w:val="212529"/>
                <w:sz w:val="15"/>
              </w:rPr>
              <w:t>Launch blocker</w:t>
            </w:r>
          </w:p>
        </w:tc>
        <w:tc>
          <w:tcPr>
            <w:tcW w:type="dxa" w:w="1512"/>
            <w:tcMar>
              <w:top w:w="88" w:type="dxa"/>
              <w:start w:w="90" w:type="dxa"/>
              <w:bottom w:w="88" w:type="dxa"/>
              <w:end w:w="90" w:type="dxa"/>
            </w:tcMar>
            <w:vAlign w:val="center"/>
          </w:tcPr>
          <w:p>
            <w:pPr>
              <w:spacing w:after="0" w:line="247" w:lineRule="auto"/>
            </w:pPr>
            <w:r>
              <w:rPr>
                <w:rFonts w:ascii="Arial" w:hAnsi="Arial"/>
                <w:color w:val="212529"/>
                <w:sz w:val="15"/>
              </w:rPr>
              <w:t>Open</w:t>
            </w:r>
          </w:p>
        </w:tc>
      </w:tr>
    </w:tbl>
    <w:p>
      <w:pPr>
        <w:spacing w:after="20"/>
      </w:pPr>
    </w:p>
    <w:p>
      <w:pPr>
        <w:pStyle w:val="Heading1"/>
      </w:pPr>
      <w:r>
        <w:t>5. Internal decisions / artifacts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F344E"/>
            <w:tcMar>
              <w:top w:w="90" w:type="dxa"/>
              <w:start w:w="90" w:type="dxa"/>
              <w:bottom w:w="90" w:type="dxa"/>
              <w:end w:w="90" w:type="dxa"/>
            </w:tcMar>
            <w:vAlign w:val="center"/>
          </w:tcPr>
          <w:p>
            <w:pPr>
              <w:jc w:val="left"/>
            </w:pPr>
            <w:r>
              <w:rPr>
                <w:rFonts w:ascii="Arial" w:hAnsi="Arial"/>
                <w:b/>
                <w:color w:val="FFFFFF"/>
                <w:sz w:val="17"/>
              </w:rPr>
              <w:t>Decision</w:t>
            </w:r>
          </w:p>
        </w:tc>
        <w:tc>
          <w:tcPr>
            <w:tcW w:type="dxa" w:w="6192"/>
            <w:shd w:fill="1F344E"/>
            <w:tcMar>
              <w:top w:w="90" w:type="dxa"/>
              <w:start w:w="90" w:type="dxa"/>
              <w:bottom w:w="90" w:type="dxa"/>
              <w:end w:w="90" w:type="dxa"/>
            </w:tcMar>
            <w:vAlign w:val="center"/>
          </w:tcPr>
          <w:p>
            <w:pPr>
              <w:jc w:val="left"/>
            </w:pPr>
            <w:r>
              <w:rPr>
                <w:rFonts w:ascii="Arial" w:hAnsi="Arial"/>
                <w:b/>
                <w:color w:val="FFFFFF"/>
                <w:sz w:val="17"/>
              </w:rPr>
              <w:t>Description</w:t>
            </w:r>
          </w:p>
        </w:tc>
        <w:tc>
          <w:tcPr>
            <w:tcW w:type="dxa" w:w="1584"/>
            <w:shd w:fill="1F344E"/>
            <w:tcMar>
              <w:top w:w="90" w:type="dxa"/>
              <w:start w:w="90" w:type="dxa"/>
              <w:bottom w:w="90" w:type="dxa"/>
              <w:end w:w="90" w:type="dxa"/>
            </w:tcMar>
            <w:vAlign w:val="center"/>
          </w:tcPr>
          <w:p>
            <w:pPr>
              <w:jc w:val="left"/>
            </w:pPr>
            <w:r>
              <w:rPr>
                <w:rFonts w:ascii="Arial" w:hAnsi="Arial"/>
                <w:b/>
                <w:color w:val="FFFFFF"/>
                <w:sz w:val="17"/>
              </w:rPr>
              <w:t>Due</w:t>
            </w:r>
          </w:p>
        </w:tc>
      </w:tr>
      <w:tr>
        <w:trPr>
          <w:cantSplit w:val="true"/>
        </w:trPr>
        <w:tc>
          <w:tcPr>
            <w:tcW w:type="dxa" w:w="2304"/>
            <w:tcMar>
              <w:top w:w="88" w:type="dxa"/>
              <w:start w:w="90" w:type="dxa"/>
              <w:bottom w:w="88" w:type="dxa"/>
              <w:end w:w="90" w:type="dxa"/>
            </w:tcMar>
            <w:vAlign w:val="center"/>
          </w:tcPr>
          <w:p>
            <w:pPr>
              <w:spacing w:after="0" w:line="247" w:lineRule="auto"/>
            </w:pPr>
            <w:r>
              <w:rPr>
                <w:rFonts w:ascii="Arial" w:hAnsi="Arial"/>
                <w:color w:val="212529"/>
                <w:sz w:val="17"/>
              </w:rPr>
              <w:t>Final product name</w:t>
            </w:r>
          </w:p>
        </w:tc>
        <w:tc>
          <w:tcPr>
            <w:tcW w:type="dxa" w:w="6192"/>
            <w:tcMar>
              <w:top w:w="88" w:type="dxa"/>
              <w:start w:w="90" w:type="dxa"/>
              <w:bottom w:w="88" w:type="dxa"/>
              <w:end w:w="90" w:type="dxa"/>
            </w:tcMar>
            <w:vAlign w:val="center"/>
          </w:tcPr>
          <w:p>
            <w:pPr>
              <w:spacing w:after="0" w:line="247" w:lineRule="auto"/>
            </w:pPr>
            <w:r>
              <w:rPr>
                <w:rFonts w:ascii="Arial" w:hAnsi="Arial"/>
                <w:color w:val="212529"/>
                <w:sz w:val="17"/>
              </w:rPr>
              <w:t>Choose OUSD Wallet / Dollar Wallet naming that avoids deposit-account implication.</w:t>
            </w:r>
          </w:p>
        </w:tc>
        <w:tc>
          <w:tcPr>
            <w:tcW w:type="dxa" w:w="1584"/>
            <w:tcMar>
              <w:top w:w="88" w:type="dxa"/>
              <w:start w:w="90" w:type="dxa"/>
              <w:bottom w:w="88" w:type="dxa"/>
              <w:end w:w="90" w:type="dxa"/>
            </w:tcMar>
            <w:vAlign w:val="center"/>
          </w:tcPr>
          <w:p>
            <w:pPr>
              <w:spacing w:after="0" w:line="247" w:lineRule="auto"/>
            </w:pPr>
            <w:r>
              <w:rPr>
                <w:rFonts w:ascii="Arial" w:hAnsi="Arial"/>
                <w:color w:val="212529"/>
                <w:sz w:val="17"/>
              </w:rPr>
              <w:t>Before UX copy lock</w:t>
            </w:r>
          </w:p>
        </w:tc>
      </w:tr>
      <w:tr>
        <w:trPr>
          <w:cantSplit w:val="true"/>
        </w:trPr>
        <w:tc>
          <w:tcPr>
            <w:tcW w:type="dxa" w:w="2304"/>
            <w:tcMar>
              <w:top w:w="88" w:type="dxa"/>
              <w:start w:w="90" w:type="dxa"/>
              <w:bottom w:w="88" w:type="dxa"/>
              <w:end w:w="90" w:type="dxa"/>
            </w:tcMar>
            <w:vAlign w:val="center"/>
          </w:tcPr>
          <w:p>
            <w:pPr>
              <w:spacing w:after="0" w:line="247" w:lineRule="auto"/>
            </w:pPr>
            <w:r>
              <w:rPr>
                <w:rFonts w:ascii="Arial" w:hAnsi="Arial"/>
                <w:color w:val="212529"/>
                <w:sz w:val="17"/>
              </w:rPr>
              <w:t>Reference rate policy</w:t>
            </w:r>
          </w:p>
        </w:tc>
        <w:tc>
          <w:tcPr>
            <w:tcW w:type="dxa" w:w="6192"/>
            <w:tcMar>
              <w:top w:w="88" w:type="dxa"/>
              <w:start w:w="90" w:type="dxa"/>
              <w:bottom w:w="88" w:type="dxa"/>
              <w:end w:w="90" w:type="dxa"/>
            </w:tcMar>
            <w:vAlign w:val="center"/>
          </w:tcPr>
          <w:p>
            <w:pPr>
              <w:spacing w:after="0" w:line="247" w:lineRule="auto"/>
            </w:pPr>
            <w:r>
              <w:rPr>
                <w:rFonts w:ascii="Arial" w:hAnsi="Arial"/>
                <w:color w:val="212529"/>
                <w:sz w:val="17"/>
              </w:rPr>
              <w:t>Select transparent FX reference source and quote-window policy; zero Zed issuance spread.</w:t>
            </w:r>
          </w:p>
        </w:tc>
        <w:tc>
          <w:tcPr>
            <w:tcW w:type="dxa" w:w="1584"/>
            <w:tcMar>
              <w:top w:w="88" w:type="dxa"/>
              <w:start w:w="90" w:type="dxa"/>
              <w:bottom w:w="88" w:type="dxa"/>
              <w:end w:w="90" w:type="dxa"/>
            </w:tcMar>
            <w:vAlign w:val="center"/>
          </w:tcPr>
          <w:p>
            <w:pPr>
              <w:spacing w:after="0" w:line="247" w:lineRule="auto"/>
            </w:pPr>
            <w:r>
              <w:rPr>
                <w:rFonts w:ascii="Arial" w:hAnsi="Arial"/>
                <w:color w:val="212529"/>
                <w:sz w:val="17"/>
              </w:rPr>
              <w:t>Before pilot</w:t>
            </w:r>
          </w:p>
        </w:tc>
      </w:tr>
      <w:tr>
        <w:trPr>
          <w:cantSplit w:val="true"/>
        </w:trPr>
        <w:tc>
          <w:tcPr>
            <w:tcW w:type="dxa" w:w="2304"/>
            <w:tcMar>
              <w:top w:w="88" w:type="dxa"/>
              <w:start w:w="90" w:type="dxa"/>
              <w:bottom w:w="88" w:type="dxa"/>
              <w:end w:w="90" w:type="dxa"/>
            </w:tcMar>
            <w:vAlign w:val="center"/>
          </w:tcPr>
          <w:p>
            <w:pPr>
              <w:spacing w:after="0" w:line="247" w:lineRule="auto"/>
            </w:pPr>
            <w:r>
              <w:rPr>
                <w:rFonts w:ascii="Arial" w:hAnsi="Arial"/>
                <w:color w:val="212529"/>
                <w:sz w:val="17"/>
              </w:rPr>
              <w:t>Rewards formula</w:t>
            </w:r>
          </w:p>
        </w:tc>
        <w:tc>
          <w:tcPr>
            <w:tcW w:type="dxa" w:w="6192"/>
            <w:tcMar>
              <w:top w:w="88" w:type="dxa"/>
              <w:start w:w="90" w:type="dxa"/>
              <w:bottom w:w="88" w:type="dxa"/>
              <w:end w:w="90" w:type="dxa"/>
            </w:tcMar>
            <w:vAlign w:val="center"/>
          </w:tcPr>
          <w:p>
            <w:pPr>
              <w:spacing w:after="0" w:line="247" w:lineRule="auto"/>
            </w:pPr>
            <w:r>
              <w:rPr>
                <w:rFonts w:ascii="Arial" w:hAnsi="Arial"/>
                <w:color w:val="212529"/>
                <w:sz w:val="17"/>
              </w:rPr>
              <w:t>Set Zed Rewards share, cadence, minimum balance and disclosure after Marketing Fee mechanics confirmed.</w:t>
            </w:r>
          </w:p>
        </w:tc>
        <w:tc>
          <w:tcPr>
            <w:tcW w:type="dxa" w:w="1584"/>
            <w:tcMar>
              <w:top w:w="88" w:type="dxa"/>
              <w:start w:w="90" w:type="dxa"/>
              <w:bottom w:w="88" w:type="dxa"/>
              <w:end w:w="90" w:type="dxa"/>
            </w:tcMar>
            <w:vAlign w:val="center"/>
          </w:tcPr>
          <w:p>
            <w:pPr>
              <w:spacing w:after="0" w:line="247" w:lineRule="auto"/>
            </w:pPr>
            <w:r>
              <w:rPr>
                <w:rFonts w:ascii="Arial" w:hAnsi="Arial"/>
                <w:color w:val="212529"/>
                <w:sz w:val="17"/>
              </w:rPr>
              <w:t>Before external launch</w:t>
            </w:r>
          </w:p>
        </w:tc>
      </w:tr>
      <w:tr>
        <w:trPr>
          <w:cantSplit w:val="true"/>
        </w:trPr>
        <w:tc>
          <w:tcPr>
            <w:tcW w:type="dxa" w:w="2304"/>
            <w:tcMar>
              <w:top w:w="88" w:type="dxa"/>
              <w:start w:w="90" w:type="dxa"/>
              <w:bottom w:w="88" w:type="dxa"/>
              <w:end w:w="90" w:type="dxa"/>
            </w:tcMar>
            <w:vAlign w:val="center"/>
          </w:tcPr>
          <w:p>
            <w:pPr>
              <w:spacing w:after="0" w:line="247" w:lineRule="auto"/>
            </w:pPr>
            <w:r>
              <w:rPr>
                <w:rFonts w:ascii="Arial" w:hAnsi="Arial"/>
                <w:color w:val="212529"/>
                <w:sz w:val="17"/>
              </w:rPr>
              <w:t>Wallet screening policy</w:t>
            </w:r>
          </w:p>
        </w:tc>
        <w:tc>
          <w:tcPr>
            <w:tcW w:type="dxa" w:w="6192"/>
            <w:tcMar>
              <w:top w:w="88" w:type="dxa"/>
              <w:start w:w="90" w:type="dxa"/>
              <w:bottom w:w="88" w:type="dxa"/>
              <w:end w:w="90" w:type="dxa"/>
            </w:tcMar>
            <w:vAlign w:val="center"/>
          </w:tcPr>
          <w:p>
            <w:pPr>
              <w:spacing w:after="0" w:line="247" w:lineRule="auto"/>
            </w:pPr>
            <w:r>
              <w:rPr>
                <w:rFonts w:ascii="Arial" w:hAnsi="Arial"/>
                <w:color w:val="212529"/>
                <w:sz w:val="17"/>
              </w:rPr>
              <w:t>Define treatment of external inbound/outbound OUSD, sanctions/high-risk addresses, and unsupported assets sent to the same address.</w:t>
            </w:r>
          </w:p>
        </w:tc>
        <w:tc>
          <w:tcPr>
            <w:tcW w:type="dxa" w:w="1584"/>
            <w:tcMar>
              <w:top w:w="88" w:type="dxa"/>
              <w:start w:w="90" w:type="dxa"/>
              <w:bottom w:w="88" w:type="dxa"/>
              <w:end w:w="90" w:type="dxa"/>
            </w:tcMar>
            <w:vAlign w:val="center"/>
          </w:tcPr>
          <w:p>
            <w:pPr>
              <w:spacing w:after="0" w:line="247" w:lineRule="auto"/>
            </w:pPr>
            <w:r>
              <w:rPr>
                <w:rFonts w:ascii="Arial" w:hAnsi="Arial"/>
                <w:color w:val="212529"/>
                <w:sz w:val="17"/>
              </w:rPr>
              <w:t>Before external launch</w:t>
            </w:r>
          </w:p>
        </w:tc>
      </w:tr>
      <w:tr>
        <w:trPr>
          <w:cantSplit w:val="true"/>
        </w:trPr>
        <w:tc>
          <w:tcPr>
            <w:tcW w:type="dxa" w:w="2304"/>
            <w:tcMar>
              <w:top w:w="88" w:type="dxa"/>
              <w:start w:w="90" w:type="dxa"/>
              <w:bottom w:w="88" w:type="dxa"/>
              <w:end w:w="90" w:type="dxa"/>
            </w:tcMar>
            <w:vAlign w:val="center"/>
          </w:tcPr>
          <w:p>
            <w:pPr>
              <w:spacing w:after="0" w:line="247" w:lineRule="auto"/>
            </w:pPr>
            <w:r>
              <w:rPr>
                <w:rFonts w:ascii="Arial" w:hAnsi="Arial"/>
                <w:color w:val="212529"/>
                <w:sz w:val="17"/>
              </w:rPr>
              <w:t>Regulatory engagement sequence</w:t>
            </w:r>
          </w:p>
        </w:tc>
        <w:tc>
          <w:tcPr>
            <w:tcW w:type="dxa" w:w="6192"/>
            <w:tcMar>
              <w:top w:w="88" w:type="dxa"/>
              <w:start w:w="90" w:type="dxa"/>
              <w:bottom w:w="88" w:type="dxa"/>
              <w:end w:w="90" w:type="dxa"/>
            </w:tcMar>
            <w:vAlign w:val="center"/>
          </w:tcPr>
          <w:p>
            <w:pPr>
              <w:spacing w:after="0" w:line="247" w:lineRule="auto"/>
            </w:pPr>
            <w:r>
              <w:rPr>
                <w:rFonts w:ascii="Arial" w:hAnsi="Arial"/>
                <w:color w:val="212529"/>
                <w:sz w:val="17"/>
              </w:rPr>
              <w:t>Decide whether counsel first seeks informal SEC/BSP meeting, written interpretive request, exemption, or StratBox application.</w:t>
            </w:r>
          </w:p>
        </w:tc>
        <w:tc>
          <w:tcPr>
            <w:tcW w:type="dxa" w:w="1584"/>
            <w:tcMar>
              <w:top w:w="88" w:type="dxa"/>
              <w:start w:w="90" w:type="dxa"/>
              <w:bottom w:w="88" w:type="dxa"/>
              <w:end w:w="90" w:type="dxa"/>
            </w:tcMar>
            <w:vAlign w:val="center"/>
          </w:tcPr>
          <w:p>
            <w:pPr>
              <w:spacing w:after="0" w:line="247" w:lineRule="auto"/>
            </w:pPr>
            <w:r>
              <w:rPr>
                <w:rFonts w:ascii="Arial" w:hAnsi="Arial"/>
                <w:color w:val="212529"/>
                <w:sz w:val="17"/>
              </w:rPr>
              <w:t>Before external launch</w:t>
            </w:r>
          </w:p>
        </w:tc>
      </w:tr>
    </w:tbl>
    <w:p>
      <w:pPr>
        <w:spacing w:after="20"/>
      </w:pPr>
    </w:p>
    <w:p>
      <w:pPr>
        <w:pStyle w:val="Heading1"/>
      </w:pPr>
      <w:r>
        <w:t>6. Status conventions</w:t>
      </w:r>
    </w:p>
    <w:p>
      <w:pPr>
        <w:pStyle w:val="ListBullet"/>
        <w:spacing w:after="50"/>
      </w:pPr>
      <w:r>
        <w:rPr>
          <w:b/>
        </w:rPr>
        <w:t xml:space="preserve">Open - </w:t>
      </w:r>
      <w:r>
        <w:t>No reliable counterparty/counsel answer yet.</w:t>
      </w:r>
    </w:p>
    <w:p>
      <w:pPr>
        <w:pStyle w:val="ListBullet"/>
        <w:spacing w:after="50"/>
      </w:pPr>
      <w:r>
        <w:rPr>
          <w:b/>
        </w:rPr>
        <w:t xml:space="preserve">Working assumption - </w:t>
      </w:r>
      <w:r>
        <w:t>Used in current architecture but not yet confirmed.</w:t>
      </w:r>
    </w:p>
    <w:p>
      <w:pPr>
        <w:pStyle w:val="ListBullet"/>
        <w:spacing w:after="50"/>
      </w:pPr>
      <w:r>
        <w:rPr>
          <w:b/>
        </w:rPr>
        <w:t xml:space="preserve">Confirmed - </w:t>
      </w:r>
      <w:r>
        <w:t>Written answer or contract/API behavior has been verified and source linked.</w:t>
      </w:r>
    </w:p>
    <w:p>
      <w:pPr>
        <w:pStyle w:val="ListBullet"/>
        <w:spacing w:after="50"/>
      </w:pPr>
      <w:r>
        <w:rPr>
          <w:b/>
        </w:rPr>
        <w:t xml:space="preserve">Rejected - </w:t>
      </w:r>
      <w:r>
        <w:t>Counterparty/counsel answer contradicts assumption; policy memo and PRD must be updated.</w:t>
      </w:r>
    </w:p>
    <w:tbl>
      <w:tblPr>
        <w:tblW w:type="auto" w:w="0"/>
        <w:jc w:val="left"/>
        <w:tblLayout w:type="fixed"/>
        <w:tblLook w:firstColumn="1" w:firstRow="1" w:lastColumn="0" w:lastRow="0" w:noHBand="0" w:noVBand="1" w:val="04A0"/>
      </w:tblPr>
      <w:tblGrid>
        <w:gridCol w:w="9994"/>
      </w:tblGrid>
      <w:tr>
        <w:tc>
          <w:tcPr>
            <w:tcW w:type="dxa" w:w="9864"/>
            <w:shd w:fill="FFF5E6"/>
            <w:tcMar>
              <w:top w:w="120" w:type="dxa"/>
              <w:start w:w="150" w:type="dxa"/>
              <w:bottom w:w="120" w:type="dxa"/>
              <w:end w:w="150" w:type="dxa"/>
            </w:tcMar>
          </w:tcPr>
          <w:p>
            <w:r>
              <w:rPr>
                <w:rFonts w:ascii="Arial" w:hAnsi="Arial"/>
                <w:b/>
                <w:color w:val="9D6716"/>
                <w:sz w:val="20"/>
              </w:rPr>
              <w:t xml:space="preserve">Source discipline.  </w:t>
            </w:r>
            <w:r>
              <w:rPr>
                <w:rFonts w:ascii="Arial" w:hAnsi="Arial"/>
                <w:color w:val="212529"/>
                <w:sz w:val="19"/>
              </w:rPr>
              <w:t>For every “Confirmed” item, save the primary source: contract section, email, API doc URL + date, meeting note, or written legal advice. Do not close launch blockers based only on oral recollection.</w:t>
            </w:r>
          </w:p>
        </w:tc>
      </w:tr>
    </w:tbl>
    <w:p>
      <w:pPr>
        <w:spacing w:after="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06E"/>
        <w:sz w:val="16"/>
      </w:rPr>
      <w:t>Zed Financial | CONFIDENTIAL - WORKING DRAFT | 28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F344E"/>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31577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560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F34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before="0"/>
    </w:pPr>
    <w:rPr>
      <w:rFonts w:asciiTheme="majorHAnsi" w:eastAsiaTheme="majorEastAsia" w:hAnsiTheme="majorHAnsi" w:cstheme="majorBidi" w:ascii="Arial" w:hAnsi="Arial"/>
      <w:i/>
      <w:iCs/>
      <w:color w:val="5560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Arial" w:hAnsi="Arial"/>
      <w:color w:val="5560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