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rFonts w:ascii="Arial" w:hAnsi="Arial"/>
          <w:b/>
          <w:color w:val="31577D"/>
          <w:sz w:val="18"/>
        </w:rPr>
        <w:t>ZED FINANCIAL</w:t>
      </w:r>
    </w:p>
    <w:p>
      <w:pPr>
        <w:pStyle w:val="Title"/>
      </w:pPr>
      <w:r>
        <w:t>Stablecoin Wallet (OUSD): Regulatory Architecture &amp; Policy Positioning</w:t>
      </w:r>
    </w:p>
    <w:p>
      <w:pPr>
        <w:pStyle w:val="Subtitle"/>
      </w:pPr>
      <w:r>
        <w:t>Proposed Philippine structure designed to minimize additional licensing while preserving an open-loop, self-custodied product</w:t>
      </w:r>
    </w:p>
    <w:tbl>
      <w:tblPr>
        <w:tblW w:type="auto" w:w="0"/>
        <w:jc w:val="left"/>
        <w:tblLayout w:type="fixed"/>
        <w:tblLook w:firstColumn="1" w:firstRow="1" w:lastColumn="0" w:lastRow="0" w:noHBand="0" w:noVBand="1" w:val="04A0"/>
      </w:tblPr>
      <w:tblGrid>
        <w:gridCol w:w="4997"/>
        <w:gridCol w:w="4997"/>
      </w:tblGrid>
      <w:tr>
        <w:tc>
          <w:tcPr>
            <w:tcW w:type="dxa" w:w="1872"/>
            <w:tcMar>
              <w:top w:w="70" w:type="dxa"/>
              <w:start w:w="90" w:type="dxa"/>
              <w:bottom w:w="70" w:type="dxa"/>
              <w:end w:w="90" w:type="dxa"/>
            </w:tcMar>
            <w:vAlign w:val="center"/>
            <w:shd w:fill="EFF3F7"/>
          </w:tcPr>
          <w:p>
            <w:r>
              <w:rPr>
                <w:rFonts w:ascii="Arial" w:hAnsi="Arial"/>
                <w:b/>
                <w:color w:val="1F344E"/>
                <w:sz w:val="18"/>
              </w:rPr>
              <w:t>Status</w:t>
            </w:r>
          </w:p>
        </w:tc>
        <w:tc>
          <w:tcPr>
            <w:tcW w:type="dxa" w:w="8208"/>
            <w:tcMar>
              <w:top w:w="70" w:type="dxa"/>
              <w:start w:w="90" w:type="dxa"/>
              <w:bottom w:w="70" w:type="dxa"/>
              <w:end w:w="90" w:type="dxa"/>
            </w:tcMar>
            <w:vAlign w:val="center"/>
          </w:tcPr>
          <w:p>
            <w:r>
              <w:rPr>
                <w:rFonts w:ascii="Arial" w:hAnsi="Arial"/>
                <w:sz w:val="18"/>
              </w:rPr>
              <w:t>CONFIDENTIAL - WORKING DRAFT</w:t>
            </w:r>
          </w:p>
        </w:tc>
      </w:tr>
      <w:tr>
        <w:tc>
          <w:tcPr>
            <w:tcW w:type="dxa" w:w="1872"/>
            <w:tcMar>
              <w:top w:w="70" w:type="dxa"/>
              <w:start w:w="90" w:type="dxa"/>
              <w:bottom w:w="70" w:type="dxa"/>
              <w:end w:w="90" w:type="dxa"/>
            </w:tcMar>
            <w:vAlign w:val="center"/>
            <w:shd w:fill="EFF3F7"/>
          </w:tcPr>
          <w:p>
            <w:r>
              <w:rPr>
                <w:rFonts w:ascii="Arial" w:hAnsi="Arial"/>
                <w:b/>
                <w:color w:val="1F344E"/>
                <w:sz w:val="18"/>
              </w:rPr>
              <w:t>Date</w:t>
            </w:r>
          </w:p>
        </w:tc>
        <w:tc>
          <w:tcPr>
            <w:tcW w:type="dxa" w:w="8208"/>
            <w:tcMar>
              <w:top w:w="70" w:type="dxa"/>
              <w:start w:w="90" w:type="dxa"/>
              <w:bottom w:w="70" w:type="dxa"/>
              <w:end w:w="90" w:type="dxa"/>
            </w:tcMar>
            <w:vAlign w:val="center"/>
          </w:tcPr>
          <w:p>
            <w:r>
              <w:rPr>
                <w:rFonts w:ascii="Arial" w:hAnsi="Arial"/>
                <w:sz w:val="18"/>
              </w:rPr>
              <w:t>28 August 2026</w:t>
            </w:r>
          </w:p>
        </w:tc>
      </w:tr>
    </w:tbl>
    <w:p/>
    <w:tbl>
      <w:tblPr>
        <w:tblW w:type="auto" w:w="0"/>
        <w:jc w:val="left"/>
        <w:tblLayout w:type="fixed"/>
        <w:tblLook w:firstColumn="1" w:firstRow="1" w:lastColumn="0" w:lastRow="0" w:noHBand="0" w:noVBand="1" w:val="04A0"/>
      </w:tblPr>
      <w:tblGrid>
        <w:gridCol w:w="9994"/>
      </w:tblGrid>
      <w:tr>
        <w:tc>
          <w:tcPr>
            <w:tcW w:type="dxa" w:w="9864"/>
            <w:shd w:fill="EAF1F7"/>
            <w:tcMar>
              <w:top w:w="120" w:type="dxa"/>
              <w:start w:w="150" w:type="dxa"/>
              <w:bottom w:w="120" w:type="dxa"/>
              <w:end w:w="150" w:type="dxa"/>
            </w:tcMar>
          </w:tcPr>
          <w:p>
            <w:r>
              <w:rPr>
                <w:rFonts w:ascii="Arial" w:hAnsi="Arial"/>
                <w:b/>
                <w:color w:val="1F344E"/>
                <w:sz w:val="20"/>
              </w:rPr>
              <w:t xml:space="preserve">Executive position.  </w:t>
            </w:r>
            <w:r>
              <w:rPr>
                <w:rFonts w:ascii="Arial" w:hAnsi="Arial"/>
                <w:color w:val="212529"/>
                <w:sz w:val="19"/>
              </w:rPr>
              <w:t>The recommended architecture gives Zed a strong basis to argue that it should not require a BSP VASP or money-changing/FX authority for the OUSD Wallet. The remaining material licensing perimeter is the SEC CASP regime: Zed may be viewed as an offeror and/or crypto-asset intermediary even though it does not operate an exchange. The recommended path is to seek SEC interpretive confirmation and, if needed, targeted exemption or StratBox relief rather than build the product around a full CASP license.</w:t>
            </w:r>
          </w:p>
        </w:tc>
      </w:tr>
    </w:tbl>
    <w:p>
      <w:pPr>
        <w:spacing w:after="0"/>
      </w:pPr>
    </w:p>
    <w:p>
      <w:pPr>
        <w:pStyle w:val="Heading1"/>
      </w:pPr>
      <w:r>
        <w:t>1. Product and regulatory objective</w:t>
      </w:r>
    </w:p>
    <w:p>
      <w:r>
        <w:t xml:space="preserve">Zed proposes to offer Philippine customers an </w:t>
      </w:r>
      <w:r>
        <w:rPr>
          <w:b/>
        </w:rPr>
        <w:t>open-loop OUSD wallet</w:t>
      </w:r>
      <w:r>
        <w:t xml:space="preserve"> embedded in the Zed app. OUSD will be held in user-owned Privy wallets. Zed will integrate with Bridge and the OUSD issuance stack, while Philippine peso collection and disbursement will use Netbank. The product is intended as a stablecoin store-of-value and payments wallet, not a crypto trading venue, deposit account, or customer FX account.</w:t>
      </w:r>
    </w:p>
    <w:p>
      <w:pPr>
        <w:pStyle w:val="ListBullet"/>
        <w:spacing w:after="50"/>
      </w:pPr>
      <w:r>
        <w:rPr>
          <w:b/>
        </w:rPr>
        <w:t xml:space="preserve">Fixed counterparties: </w:t>
      </w:r>
      <w:r>
        <w:t>Bridge for issuance/orchestration infrastructure; Privy for embedded self-custody.</w:t>
      </w:r>
    </w:p>
    <w:p>
      <w:pPr>
        <w:pStyle w:val="ListBullet"/>
        <w:spacing w:after="50"/>
      </w:pPr>
      <w:r>
        <w:rPr>
          <w:b/>
        </w:rPr>
        <w:t xml:space="preserve">Target regulatory outcome: </w:t>
      </w:r>
      <w:r>
        <w:t>no separate BSP VASP, MC/FXD, EMI, or deposit-taking authority for Zed; no SEC CASP registration if interpretive/exemptive relief is available.</w:t>
      </w:r>
    </w:p>
    <w:p>
      <w:pPr>
        <w:pStyle w:val="ListBullet"/>
        <w:spacing w:after="50"/>
      </w:pPr>
      <w:r>
        <w:rPr>
          <w:b/>
        </w:rPr>
        <w:t xml:space="preserve">Core design principle: </w:t>
      </w:r>
      <w:r>
        <w:t>regulated-looking functions should either be issuer activity, Zed own-account treasury, bank activity, or customer-controlled wallet activity - not Zed acting as principal in a fiat/VA exchange or custodian.</w:t>
      </w:r>
    </w:p>
    <w:p>
      <w:pPr>
        <w:pStyle w:val="Heading1"/>
      </w:pPr>
      <w:r>
        <w:t>2. Recommended target architecture</w:t>
      </w:r>
    </w:p>
    <w:p>
      <w:pPr>
        <w:pStyle w:val="Heading2"/>
      </w:pPr>
      <w:r>
        <w:t>2.1 On-ramp: primary OUSD issuance, not customer FX</w:t>
      </w:r>
    </w:p>
    <w:p>
      <w:pPr>
        <w:pStyle w:val="ListNumber"/>
        <w:spacing w:after="60"/>
      </w:pPr>
      <w:r>
        <w:rPr>
          <w:b/>
        </w:rPr>
        <w:t xml:space="preserve">Customer requests an OUSD issuance. </w:t>
      </w:r>
      <w:r>
        <w:t>Example: the user selects “Add 100 OUSD.” The confirmation identifies OUSD and the issuer/issuance program, shows the PHP amount required, and shows a Zed issuance/FX fee of zero.</w:t>
      </w:r>
    </w:p>
    <w:p>
      <w:pPr>
        <w:pStyle w:val="ListNumber"/>
        <w:spacing w:after="60"/>
      </w:pPr>
      <w:r>
        <w:rPr>
          <w:b/>
        </w:rPr>
        <w:t xml:space="preserve">Customer pays PHP to a dedicated Netbank collection virtual account. </w:t>
      </w:r>
      <w:r>
        <w:t>The PHP payment is purchase/issuance consideration collected by Zed in its distributor/collection role. The customer never receives, owns, or has a claim to USD.</w:t>
      </w:r>
    </w:p>
    <w:p>
      <w:pPr>
        <w:pStyle w:val="ListNumber"/>
        <w:spacing w:after="60"/>
      </w:pPr>
      <w:r>
        <w:rPr>
          <w:b/>
        </w:rPr>
        <w:t xml:space="preserve">Zed funds issuance from pre-existing Zed-owned USD liquidity at Bridge. </w:t>
      </w:r>
      <w:r>
        <w:t>The settlement dollars are Zed treasury assets, not a customer USD balance.</w:t>
      </w:r>
    </w:p>
    <w:p>
      <w:pPr>
        <w:pStyle w:val="ListNumber"/>
        <w:spacing w:after="60"/>
      </w:pPr>
      <w:r>
        <w:rPr>
          <w:b/>
        </w:rPr>
        <w:t xml:space="preserve">OUSD is minted directly to the customer-owned Privy wallet. </w:t>
      </w:r>
      <w:r>
        <w:t>The target implementation is a primary mint by the OUSD issuer/issuance infrastructure directly to the user address. OUSD should not pass through a Zed wallet.</w:t>
      </w:r>
    </w:p>
    <w:p>
      <w:pPr>
        <w:pStyle w:val="ListNumber"/>
        <w:spacing w:after="60"/>
      </w:pPr>
      <w:r>
        <w:rPr>
          <w:b/>
        </w:rPr>
        <w:t xml:space="preserve">Zed later rebalances treasury in aggregate. </w:t>
      </w:r>
      <w:r>
        <w:t>Accumulated PHP is converted to USD periodically to replenish Zed’s settlement float. Treasury rebalancing is not matched as a customer-by-customer PHP-to-USD sale.</w:t>
      </w:r>
    </w:p>
    <w:tbl>
      <w:tblPr>
        <w:tblW w:type="auto" w:w="0"/>
        <w:jc w:val="left"/>
        <w:tblLayout w:type="fixed"/>
        <w:tblLook w:firstColumn="1" w:firstRow="1" w:lastColumn="0" w:lastRow="0" w:noHBand="0" w:noVBand="1" w:val="04A0"/>
      </w:tblPr>
      <w:tblGrid>
        <w:gridCol w:w="9994"/>
      </w:tblGrid>
      <w:tr>
        <w:tc>
          <w:tcPr>
            <w:tcW w:type="dxa" w:w="9864"/>
            <w:shd w:fill="EAF5F1"/>
            <w:tcMar>
              <w:top w:w="120" w:type="dxa"/>
              <w:start w:w="150" w:type="dxa"/>
              <w:bottom w:w="120" w:type="dxa"/>
              <w:end w:w="150" w:type="dxa"/>
            </w:tcMar>
          </w:tcPr>
          <w:p>
            <w:r>
              <w:rPr>
                <w:rFonts w:ascii="Arial" w:hAnsi="Arial"/>
                <w:b/>
                <w:color w:val="227156"/>
                <w:sz w:val="20"/>
              </w:rPr>
              <w:t xml:space="preserve">Illustrative transaction.  </w:t>
            </w:r>
            <w:r>
              <w:rPr>
                <w:rFonts w:ascii="Arial" w:hAnsi="Arial"/>
                <w:color w:val="212529"/>
                <w:sz w:val="19"/>
              </w:rPr>
              <w:t>The user requests 100 OUSD. Zed shows ₱5,850 due (illustrative reference rate only; no Zed spread). The user pays ₱5,850 to the dedicated Netbank VA. Zed uses $100 from its already-funded Bridge settlement balance to cause 100 OUSD to be minted directly to the user’s Privy address. At day-end, Zed may convert aggregate PHP collected across all customers into USD to replenish its own settlement liquidity. At no point does the user hold or become entitled to USD.</w:t>
            </w:r>
          </w:p>
        </w:tc>
      </w:tr>
    </w:tbl>
    <w:p>
      <w:pPr>
        <w:spacing w:after="0"/>
      </w:pPr>
    </w:p>
    <w:p>
      <w:pPr>
        <w:pStyle w:val="Heading2"/>
      </w:pPr>
      <w:r>
        <w:t>2.2 Wallet: genuinely self-custodied and open-loop</w:t>
      </w:r>
    </w:p>
    <w:p>
      <w:pPr>
        <w:pStyle w:val="ListBullet"/>
        <w:spacing w:after="50"/>
      </w:pPr>
      <w:r>
        <w:t>Each wallet is user-owned under Privy’s self-custodial configuration.</w:t>
      </w:r>
    </w:p>
    <w:p>
      <w:pPr>
        <w:pStyle w:val="ListBullet"/>
        <w:spacing w:after="50"/>
      </w:pPr>
      <w:r>
        <w:t>Zed should have no authorization key, signer, quorum position, or policy that permits unilateral movement or export of user assets.</w:t>
      </w:r>
    </w:p>
    <w:p>
      <w:pPr>
        <w:pStyle w:val="ListBullet"/>
        <w:spacing w:after="50"/>
      </w:pPr>
      <w:r>
        <w:t>The user must be able to recover/export wallet control and use the wallet independently of Zed.</w:t>
      </w:r>
    </w:p>
    <w:p>
      <w:pPr>
        <w:pStyle w:val="ListBullet"/>
        <w:spacing w:after="50"/>
      </w:pPr>
      <w:r>
        <w:t>OUSD is open-loop. The customer may send and receive OUSD to/from external addresses. Zed’s UI may simplify the experience, but transfers remain customer-signed wallet actions.</w:t>
      </w:r>
    </w:p>
    <w:p>
      <w:pPr>
        <w:pStyle w:val="ListBullet"/>
        <w:spacing w:after="50"/>
      </w:pPr>
      <w:r>
        <w:t>Zed should not maintain an omnibus OUSD wallet or internal ledger liability representing customer OUSD balances; on-chain balances are the source of truth.</w:t>
      </w:r>
    </w:p>
    <w:p>
      <w:pPr>
        <w:pStyle w:val="Heading2"/>
      </w:pPr>
      <w:r>
        <w:t>2.3 Philippine off-ramp: direct issuer/Bridge redemption, then local fiat payout</w:t>
      </w:r>
    </w:p>
    <w:p>
      <w:pPr>
        <w:pStyle w:val="ListNumber"/>
        <w:spacing w:after="60"/>
      </w:pPr>
      <w:r>
        <w:rPr>
          <w:b/>
        </w:rPr>
        <w:t xml:space="preserve">Customer requests redemption. </w:t>
      </w:r>
      <w:r>
        <w:t>Zed creates or references a customer-attributed Bridge/Open Standard redemption route.</w:t>
      </w:r>
    </w:p>
    <w:p>
      <w:pPr>
        <w:pStyle w:val="ListNumber"/>
        <w:spacing w:after="60"/>
      </w:pPr>
      <w:r>
        <w:rPr>
          <w:b/>
        </w:rPr>
        <w:t xml:space="preserve">Customer signs from Privy directly to the redemption/burn address. </w:t>
      </w:r>
      <w:r>
        <w:t>Customer OUSD must never be transferred to a Zed-controlled address.</w:t>
      </w:r>
    </w:p>
    <w:p>
      <w:pPr>
        <w:pStyle w:val="ListNumber"/>
        <w:spacing w:after="60"/>
      </w:pPr>
      <w:r>
        <w:rPr>
          <w:b/>
        </w:rPr>
        <w:t xml:space="preserve">Bridge / the OUSD issuance stack handles the VA-side redemption. </w:t>
      </w:r>
      <w:r>
        <w:t>The desired outcome is burn/redemption of OUSD and resulting USD settlement to Zed’s prefunded/settlement arrangement, attributed to the relevant customer.</w:t>
      </w:r>
    </w:p>
    <w:p>
      <w:pPr>
        <w:pStyle w:val="ListNumber"/>
        <w:spacing w:after="60"/>
      </w:pPr>
      <w:r>
        <w:rPr>
          <w:b/>
        </w:rPr>
        <w:t xml:space="preserve">Zed/Netbank performs the Philippine fiat leg. </w:t>
      </w:r>
      <w:r>
        <w:t>Zed pays PHP from its local liquidity to the customer’s own Philippine bank account using Netbank. USD/PHP treasury rebalancing remains separate and aggregate.</w:t>
      </w:r>
    </w:p>
    <w:p>
      <w:r>
        <w:t xml:space="preserve">Bridge’s public Transfer API expressly supports crypto-to-fiat transfers, sources that include customer crypto wallets, and an </w:t>
      </w:r>
      <w:r>
        <w:rPr>
          <w:b/>
        </w:rPr>
        <w:t>on_behalf_of</w:t>
      </w:r>
      <w:r>
        <w:t xml:space="preserve"> customer identifier. Bridge also documents liquidation addresses that receive crypto and route proceeds to configured destinations. The exact OUSD mint/burn endpoint and whether OUSD redemption can settle to Zed’s prefunded account remain counterparty-confirmation items.</w:t>
      </w:r>
    </w:p>
    <w:p>
      <w:pPr>
        <w:pStyle w:val="Heading2"/>
      </w:pPr>
      <w:r>
        <w:t>2.4 Rewards</w:t>
      </w:r>
    </w:p>
    <w:p>
      <w:r>
        <w:t>Working assumption: Open Standard pays Zed’s partner “Marketing Fee” on-chain in OUSD based on balances in registered wallets associated with Zed’s direct customers. The contractual fee is treated as Zed revenue, not as customer property awaiting distribution. Zed then operates a separate customer rewards program.</w:t>
      </w:r>
    </w:p>
    <w:p>
      <w:pPr>
        <w:pStyle w:val="ListBullet"/>
        <w:spacing w:after="50"/>
      </w:pPr>
      <w:r>
        <w:t>Preferred reward fulfillment: use Zed-owned reward economics/settlement value to fund incremental primary OUSD mints directly to each customer wallet.</w:t>
      </w:r>
    </w:p>
    <w:p>
      <w:pPr>
        <w:pStyle w:val="ListBullet"/>
        <w:spacing w:after="50"/>
      </w:pPr>
      <w:r>
        <w:t>Avoid routine Zed payout-wallet -&gt; customer-wallet OUSD transfers if Bridge/Open Standard can support direct mint-based reward fulfillment.</w:t>
      </w:r>
    </w:p>
    <w:p>
      <w:pPr>
        <w:pStyle w:val="ListBullet"/>
        <w:spacing w:after="50"/>
      </w:pPr>
      <w:r>
        <w:t>Customer terms should not create a contractual right to Open Standard’s Marketing Fee itself.</w:t>
      </w:r>
    </w:p>
    <w:p>
      <w:pPr>
        <w:pStyle w:val="ListBullet"/>
        <w:spacing w:after="50"/>
      </w:pPr>
      <w:r>
        <w:t>Marketing should say “variable Zed Rewards” rather than “your OUSD earns Treasury interest/yield.”</w:t>
      </w:r>
    </w:p>
    <w:p>
      <w:pPr>
        <w:pStyle w:val="Heading1"/>
      </w:pPr>
      <w:r>
        <w:t>3. BSP VASP analysis</w:t>
      </w:r>
    </w:p>
    <w:p>
      <w:r>
        <w:t>BSP Circular 1206 consolidated the MSB/VASP rules into the M-Regulations. The VASP framework covers entities offering VASP activities in the Philippines, but the scope expressly excludes businesses involved in the participation in and provision of financial services related to an issuer’s offer and/or sale of a virtual asset, and entities acting solely on their own behalf. The proposed structure is designed around those boundaries.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F344E"/>
            <w:tcMar>
              <w:top w:w="90" w:type="dxa"/>
              <w:start w:w="90" w:type="dxa"/>
              <w:bottom w:w="90" w:type="dxa"/>
              <w:end w:w="90" w:type="dxa"/>
            </w:tcMar>
            <w:vAlign w:val="center"/>
          </w:tcPr>
          <w:p>
            <w:pPr>
              <w:jc w:val="left"/>
            </w:pPr>
            <w:r>
              <w:rPr>
                <w:rFonts w:ascii="Arial" w:hAnsi="Arial"/>
                <w:b/>
                <w:color w:val="FFFFFF"/>
                <w:sz w:val="17"/>
              </w:rPr>
              <w:t>VASP limb</w:t>
            </w:r>
          </w:p>
        </w:tc>
        <w:tc>
          <w:tcPr>
            <w:tcW w:type="dxa" w:w="2448"/>
            <w:shd w:fill="1F344E"/>
            <w:tcMar>
              <w:top w:w="90" w:type="dxa"/>
              <w:start w:w="90" w:type="dxa"/>
              <w:bottom w:w="90" w:type="dxa"/>
              <w:end w:w="90" w:type="dxa"/>
            </w:tcMar>
            <w:vAlign w:val="center"/>
          </w:tcPr>
          <w:p>
            <w:pPr>
              <w:jc w:val="left"/>
            </w:pPr>
            <w:r>
              <w:rPr>
                <w:rFonts w:ascii="Arial" w:hAnsi="Arial"/>
                <w:b/>
                <w:color w:val="FFFFFF"/>
                <w:sz w:val="17"/>
              </w:rPr>
              <w:t>Zed position</w:t>
            </w:r>
          </w:p>
        </w:tc>
        <w:tc>
          <w:tcPr>
            <w:tcW w:type="dxa" w:w="5760"/>
            <w:shd w:fill="1F344E"/>
            <w:tcMar>
              <w:top w:w="90" w:type="dxa"/>
              <w:start w:w="90" w:type="dxa"/>
              <w:bottom w:w="90" w:type="dxa"/>
              <w:end w:w="90" w:type="dxa"/>
            </w:tcMar>
            <w:vAlign w:val="center"/>
          </w:tcPr>
          <w:p>
            <w:pPr>
              <w:jc w:val="left"/>
            </w:pPr>
            <w:r>
              <w:rPr>
                <w:rFonts w:ascii="Arial" w:hAnsi="Arial"/>
                <w:b/>
                <w:color w:val="FFFFFF"/>
                <w:sz w:val="17"/>
              </w:rPr>
              <w:t>Design facts supporting position</w:t>
            </w:r>
          </w:p>
        </w:tc>
      </w:tr>
      <w:tr>
        <w:tc>
          <w:tcPr>
            <w:tcW w:type="dxa" w:w="1655"/>
            <w:tcMar>
              <w:top w:w="88" w:type="dxa"/>
              <w:start w:w="90" w:type="dxa"/>
              <w:bottom w:w="88" w:type="dxa"/>
              <w:end w:w="90" w:type="dxa"/>
            </w:tcMar>
            <w:vAlign w:val="center"/>
          </w:tcPr>
          <w:p>
            <w:pPr>
              <w:spacing w:after="0" w:line="247" w:lineRule="auto"/>
            </w:pPr>
            <w:r>
              <w:rPr>
                <w:rFonts w:ascii="Arial" w:hAnsi="Arial"/>
                <w:color w:val="212529"/>
                <w:sz w:val="17"/>
              </w:rPr>
              <w:t>Fiat &lt;-&gt; VA exchange</w:t>
            </w:r>
          </w:p>
        </w:tc>
        <w:tc>
          <w:tcPr>
            <w:tcW w:type="dxa" w:w="2448"/>
            <w:tcMar>
              <w:top w:w="88" w:type="dxa"/>
              <w:start w:w="90" w:type="dxa"/>
              <w:bottom w:w="88" w:type="dxa"/>
              <w:end w:w="90" w:type="dxa"/>
            </w:tcMar>
            <w:vAlign w:val="center"/>
          </w:tcPr>
          <w:p>
            <w:pPr>
              <w:spacing w:after="0" w:line="247" w:lineRule="auto"/>
            </w:pPr>
            <w:r>
              <w:rPr>
                <w:rFonts w:ascii="Arial" w:hAnsi="Arial"/>
                <w:color w:val="212529"/>
                <w:sz w:val="17"/>
              </w:rPr>
              <w:t>Strongest issue, but framed as issuer primary offer/sale</w:t>
            </w:r>
          </w:p>
        </w:tc>
        <w:tc>
          <w:tcPr>
            <w:tcW w:type="dxa" w:w="5760"/>
            <w:tcMar>
              <w:top w:w="88" w:type="dxa"/>
              <w:start w:w="90" w:type="dxa"/>
              <w:bottom w:w="88" w:type="dxa"/>
              <w:end w:w="90" w:type="dxa"/>
            </w:tcMar>
            <w:vAlign w:val="center"/>
          </w:tcPr>
          <w:p>
            <w:pPr>
              <w:spacing w:after="0" w:line="247" w:lineRule="auto"/>
            </w:pPr>
            <w:r>
              <w:rPr>
                <w:rFonts w:ascii="Arial" w:hAnsi="Arial"/>
                <w:color w:val="212529"/>
                <w:sz w:val="17"/>
              </w:rPr>
              <w:t>Customer participates in primary OUSD issuance; Zed does not sell existing OUSD inventory; zero issuance/FX economics; direct mint to user wallet.</w:t>
            </w:r>
          </w:p>
        </w:tc>
      </w:tr>
      <w:tr>
        <w:tc>
          <w:tcPr>
            <w:tcW w:type="dxa" w:w="1655"/>
            <w:tcMar>
              <w:top w:w="88" w:type="dxa"/>
              <w:start w:w="90" w:type="dxa"/>
              <w:bottom w:w="88" w:type="dxa"/>
              <w:end w:w="90" w:type="dxa"/>
            </w:tcMar>
            <w:vAlign w:val="center"/>
          </w:tcPr>
          <w:p>
            <w:pPr>
              <w:spacing w:after="0" w:line="247" w:lineRule="auto"/>
            </w:pPr>
            <w:r>
              <w:rPr>
                <w:rFonts w:ascii="Arial" w:hAnsi="Arial"/>
                <w:color w:val="212529"/>
                <w:sz w:val="17"/>
              </w:rPr>
              <w:t>VA &lt;-&gt; VA exchange</w:t>
            </w:r>
          </w:p>
        </w:tc>
        <w:tc>
          <w:tcPr>
            <w:tcW w:type="dxa" w:w="2448"/>
            <w:tcMar>
              <w:top w:w="88" w:type="dxa"/>
              <w:start w:w="90" w:type="dxa"/>
              <w:bottom w:w="88" w:type="dxa"/>
              <w:end w:w="90" w:type="dxa"/>
            </w:tcMar>
            <w:vAlign w:val="center"/>
          </w:tcPr>
          <w:p>
            <w:pPr>
              <w:spacing w:after="0" w:line="247" w:lineRule="auto"/>
            </w:pPr>
            <w:r>
              <w:rPr>
                <w:rFonts w:ascii="Arial" w:hAnsi="Arial"/>
                <w:color w:val="212529"/>
                <w:sz w:val="17"/>
              </w:rPr>
              <w:t>No</w:t>
            </w:r>
          </w:p>
        </w:tc>
        <w:tc>
          <w:tcPr>
            <w:tcW w:type="dxa" w:w="5760"/>
            <w:tcMar>
              <w:top w:w="88" w:type="dxa"/>
              <w:start w:w="90" w:type="dxa"/>
              <w:bottom w:w="88" w:type="dxa"/>
              <w:end w:w="90" w:type="dxa"/>
            </w:tcMar>
            <w:vAlign w:val="center"/>
          </w:tcPr>
          <w:p>
            <w:pPr>
              <w:spacing w:after="0" w:line="247" w:lineRule="auto"/>
            </w:pPr>
            <w:r>
              <w:rPr>
                <w:rFonts w:ascii="Arial" w:hAnsi="Arial"/>
                <w:color w:val="212529"/>
                <w:sz w:val="17"/>
              </w:rPr>
              <w:t>Remove USDC/other customer asset legs. If Zed uses any digital asset in treasury, it is not attributed to customer balances.</w:t>
            </w:r>
          </w:p>
        </w:tc>
      </w:tr>
      <w:tr>
        <w:tc>
          <w:tcPr>
            <w:tcW w:type="dxa" w:w="1655"/>
            <w:tcMar>
              <w:top w:w="88" w:type="dxa"/>
              <w:start w:w="90" w:type="dxa"/>
              <w:bottom w:w="88" w:type="dxa"/>
              <w:end w:w="90" w:type="dxa"/>
            </w:tcMar>
            <w:vAlign w:val="center"/>
          </w:tcPr>
          <w:p>
            <w:pPr>
              <w:spacing w:after="0" w:line="247" w:lineRule="auto"/>
            </w:pPr>
            <w:r>
              <w:rPr>
                <w:rFonts w:ascii="Arial" w:hAnsi="Arial"/>
                <w:color w:val="212529"/>
                <w:sz w:val="17"/>
              </w:rPr>
              <w:t>Transfer of VAs</w:t>
            </w:r>
          </w:p>
        </w:tc>
        <w:tc>
          <w:tcPr>
            <w:tcW w:type="dxa" w:w="2448"/>
            <w:tcMar>
              <w:top w:w="88" w:type="dxa"/>
              <w:start w:w="90" w:type="dxa"/>
              <w:bottom w:w="88" w:type="dxa"/>
              <w:end w:w="90" w:type="dxa"/>
            </w:tcMar>
            <w:vAlign w:val="center"/>
          </w:tcPr>
          <w:p>
            <w:pPr>
              <w:spacing w:after="0" w:line="247" w:lineRule="auto"/>
            </w:pPr>
            <w:r>
              <w:rPr>
                <w:rFonts w:ascii="Arial" w:hAnsi="Arial"/>
                <w:color w:val="212529"/>
                <w:sz w:val="17"/>
              </w:rPr>
              <w:t>Strong argument no for issuance/redemption; wallet transfers remain residual interpretive risk</w:t>
            </w:r>
          </w:p>
        </w:tc>
        <w:tc>
          <w:tcPr>
            <w:tcW w:type="dxa" w:w="5760"/>
            <w:tcMar>
              <w:top w:w="88" w:type="dxa"/>
              <w:start w:w="90" w:type="dxa"/>
              <w:bottom w:w="88" w:type="dxa"/>
              <w:end w:w="90" w:type="dxa"/>
            </w:tcMar>
            <w:vAlign w:val="center"/>
          </w:tcPr>
          <w:p>
            <w:pPr>
              <w:spacing w:after="0" w:line="247" w:lineRule="auto"/>
            </w:pPr>
            <w:r>
              <w:rPr>
                <w:rFonts w:ascii="Arial" w:hAnsi="Arial"/>
                <w:color w:val="212529"/>
                <w:sz w:val="17"/>
              </w:rPr>
              <w:t>Mint by issuer directly to customer; redemption directly to issuer/Bridge; Zed never receives customer OUSD. Open-loop sends are customer-signed from self-custody.</w:t>
            </w:r>
          </w:p>
        </w:tc>
      </w:tr>
      <w:tr>
        <w:tc>
          <w:tcPr>
            <w:tcW w:type="dxa" w:w="1655"/>
            <w:tcMar>
              <w:top w:w="88" w:type="dxa"/>
              <w:start w:w="90" w:type="dxa"/>
              <w:bottom w:w="88" w:type="dxa"/>
              <w:end w:w="90" w:type="dxa"/>
            </w:tcMar>
            <w:vAlign w:val="center"/>
          </w:tcPr>
          <w:p>
            <w:pPr>
              <w:spacing w:after="0" w:line="247" w:lineRule="auto"/>
            </w:pPr>
            <w:r>
              <w:rPr>
                <w:rFonts w:ascii="Arial" w:hAnsi="Arial"/>
                <w:color w:val="212529"/>
                <w:sz w:val="17"/>
              </w:rPr>
              <w:t>Safekeeping / administration / control</w:t>
            </w:r>
          </w:p>
        </w:tc>
        <w:tc>
          <w:tcPr>
            <w:tcW w:type="dxa" w:w="2448"/>
            <w:tcMar>
              <w:top w:w="88" w:type="dxa"/>
              <w:start w:w="90" w:type="dxa"/>
              <w:bottom w:w="88" w:type="dxa"/>
              <w:end w:w="90" w:type="dxa"/>
            </w:tcMar>
            <w:vAlign w:val="center"/>
          </w:tcPr>
          <w:p>
            <w:pPr>
              <w:spacing w:after="0" w:line="247" w:lineRule="auto"/>
            </w:pPr>
            <w:r>
              <w:rPr>
                <w:rFonts w:ascii="Arial" w:hAnsi="Arial"/>
                <w:color w:val="212529"/>
                <w:sz w:val="17"/>
              </w:rPr>
              <w:t>Strong argument no</w:t>
            </w:r>
          </w:p>
        </w:tc>
        <w:tc>
          <w:tcPr>
            <w:tcW w:type="dxa" w:w="5760"/>
            <w:tcMar>
              <w:top w:w="88" w:type="dxa"/>
              <w:start w:w="90" w:type="dxa"/>
              <w:bottom w:w="88" w:type="dxa"/>
              <w:end w:w="90" w:type="dxa"/>
            </w:tcMar>
            <w:vAlign w:val="center"/>
          </w:tcPr>
          <w:p>
            <w:pPr>
              <w:spacing w:after="0" w:line="247" w:lineRule="auto"/>
            </w:pPr>
            <w:r>
              <w:rPr>
                <w:rFonts w:ascii="Arial" w:hAnsi="Arial"/>
                <w:color w:val="212529"/>
                <w:sz w:val="17"/>
              </w:rPr>
              <w:t>User-owned Privy wallet; no Zed unilateral signer; export/recovery available; no omnibus custody or internal OUSD liability ledger.</w:t>
            </w:r>
          </w:p>
        </w:tc>
      </w:tr>
    </w:tbl>
    <w:p>
      <w:pPr>
        <w:spacing w:after="20"/>
      </w:pPr>
    </w:p>
    <w:p>
      <w:pPr>
        <w:pStyle w:val="Heading2"/>
      </w:pPr>
      <w:r>
        <w:t>3.1 Core BSP policy argument</w:t>
      </w:r>
    </w:p>
    <w:tbl>
      <w:tblPr>
        <w:tblW w:type="auto" w:w="0"/>
        <w:jc w:val="left"/>
        <w:tblLayout w:type="fixed"/>
        <w:tblLook w:firstColumn="1" w:firstRow="1" w:lastColumn="0" w:lastRow="0" w:noHBand="0" w:noVBand="1" w:val="04A0"/>
      </w:tblPr>
      <w:tblGrid>
        <w:gridCol w:w="9994"/>
      </w:tblGrid>
      <w:tr>
        <w:tc>
          <w:tcPr>
            <w:tcW w:type="dxa" w:w="9864"/>
            <w:shd w:fill="EAF1F7"/>
            <w:tcMar>
              <w:top w:w="120" w:type="dxa"/>
              <w:start w:w="150" w:type="dxa"/>
              <w:bottom w:w="120" w:type="dxa"/>
              <w:end w:w="150" w:type="dxa"/>
            </w:tcMar>
          </w:tcPr>
          <w:p>
            <w:r>
              <w:rPr>
                <w:rFonts w:ascii="Arial" w:hAnsi="Arial"/>
                <w:b/>
                <w:color w:val="1F344E"/>
                <w:sz w:val="20"/>
              </w:rPr>
              <w:t xml:space="preserve">Position to articulate.  </w:t>
            </w:r>
            <w:r>
              <w:rPr>
                <w:rFonts w:ascii="Arial" w:hAnsi="Arial"/>
                <w:color w:val="212529"/>
                <w:sz w:val="19"/>
              </w:rPr>
              <w:t>Zed is not operating a virtual-asset exchange or custodial wallet. It facilitates participation in the OUSD issuer’s primary issuance and redemption process, while customer OUSD is issued directly to and controlled solely by the customer. Zed’s PHP/USD conversions are own-account treasury management and are not customer FX transactions.</w:t>
            </w:r>
          </w:p>
        </w:tc>
      </w:tr>
    </w:tbl>
    <w:p>
      <w:pPr>
        <w:spacing w:after="0"/>
      </w:pPr>
    </w:p>
    <w:p>
      <w:r>
        <w:t>The principal BSP challenge is functional: a regulator may say that a Philippine user gives Zed PHP and receives OUSD, so Zed is facilitating fiat/VA exchange. The response should rely on the specific scope carve-out for services connected to an issuer’s offer/sale, not on semantic relabeling. The facts must therefore preserve genuine primary issuance: no Zed OUSD inventory, no secondary-market execution, and no Zed spread on the issuance.</w:t>
      </w:r>
    </w:p>
    <w:p>
      <w:pPr>
        <w:pStyle w:val="Heading2"/>
      </w:pPr>
      <w:r>
        <w:t>3.2 Offshore Bridge relationship</w:t>
      </w:r>
    </w:p>
    <w:p>
      <w:r>
        <w:t>BSP Memorandum M-2026-003 is important because Zed is a BSP-supervised financial institution. It permits BSFIs to deal with duly licensed/authorized offshore VASPs and foreign counterparties, subject to due diligence, but states that direct access by Philippine retail customers to offshore VASPs is not allowed unless the offshore provider is registered with the BSP or SEC. Accordingly:</w:t>
      </w:r>
    </w:p>
    <w:p>
      <w:pPr>
        <w:pStyle w:val="ListBullet"/>
        <w:spacing w:after="50"/>
      </w:pPr>
      <w:r>
        <w:t>Bridge should be treated as Zed’s offshore infrastructure/counterparty, not a foreign retail crypto app to which Zed redirects Philippine users.</w:t>
      </w:r>
    </w:p>
    <w:p>
      <w:pPr>
        <w:pStyle w:val="ListBullet"/>
        <w:spacing w:after="50"/>
      </w:pPr>
      <w:r>
        <w:t>A Bridge end-user/customer identifier may be used for KYC, compliance, attribution, and on_behalf_of processing, but the product should not give the user independent direct access to Bridge absent Philippine regulatory confirmation.</w:t>
      </w:r>
    </w:p>
    <w:p>
      <w:pPr>
        <w:pStyle w:val="ListBullet"/>
        <w:spacing w:after="50"/>
      </w:pPr>
      <w:r>
        <w:t>Confirm Bridge’s relevant U.S. MSB/MTL or other home-jurisdiction authorizations before launch and retain evidence as part of counterparty due diligence.</w:t>
      </w:r>
    </w:p>
    <w:p>
      <w:pPr>
        <w:pStyle w:val="Heading1"/>
      </w:pPr>
      <w:r>
        <w:t>4. FX / money-changing analysis</w:t>
      </w:r>
    </w:p>
    <w:p>
      <w:r>
        <w:t>The structure should avoid creating a customer PHP/USD transaction. The user is never credited USD, cannot withdraw USD from Zed, and has no USD receivable. Zed quotes an all-in PHP amount for an OUSD issuance and earns no spread on the issuance step. Zed then separately manages its corporate PHP/USD liquidity.</w:t>
      </w:r>
    </w:p>
    <w:p>
      <w:pPr>
        <w:pStyle w:val="ListBullet"/>
        <w:spacing w:after="50"/>
      </w:pPr>
      <w:r>
        <w:t>Do not display “PHP -&gt; USD,” an FX rate sold by Zed, or an FX spread in the customer flow.</w:t>
      </w:r>
    </w:p>
    <w:p>
      <w:pPr>
        <w:pStyle w:val="ListBullet"/>
        <w:spacing w:after="50"/>
      </w:pPr>
      <w:r>
        <w:t>Do not book a customer USD balance, payable, or sub-ledger entitlement.</w:t>
      </w:r>
    </w:p>
    <w:p>
      <w:pPr>
        <w:pStyle w:val="ListBullet"/>
        <w:spacing w:after="50"/>
      </w:pPr>
      <w:r>
        <w:t>Treasury should record aggregate corporate FX P&amp;L internally, but not characterize it as customer FX revenue.</w:t>
      </w:r>
    </w:p>
    <w:p>
      <w:pPr>
        <w:pStyle w:val="ListBullet"/>
        <w:spacing w:after="50"/>
      </w:pPr>
      <w:r>
        <w:t>Prefer bank-executed PHP/USD treasury conversion. Coins.ph should not be part of the base customer flow merely to “insert a VASP.”</w:t>
      </w:r>
    </w:p>
    <w:tbl>
      <w:tblPr>
        <w:tblW w:type="auto" w:w="0"/>
        <w:jc w:val="left"/>
        <w:tblLayout w:type="fixed"/>
        <w:tblLook w:firstColumn="1" w:firstRow="1" w:lastColumn="0" w:lastRow="0" w:noHBand="0" w:noVBand="1" w:val="04A0"/>
      </w:tblPr>
      <w:tblGrid>
        <w:gridCol w:w="9994"/>
      </w:tblGrid>
      <w:tr>
        <w:tc>
          <w:tcPr>
            <w:tcW w:type="dxa" w:w="9864"/>
            <w:shd w:fill="EAF5F1"/>
            <w:tcMar>
              <w:top w:w="120" w:type="dxa"/>
              <w:start w:w="150" w:type="dxa"/>
              <w:bottom w:w="120" w:type="dxa"/>
              <w:end w:w="150" w:type="dxa"/>
            </w:tcMar>
          </w:tcPr>
          <w:p>
            <w:r>
              <w:rPr>
                <w:rFonts w:ascii="Arial" w:hAnsi="Arial"/>
                <w:b/>
                <w:color w:val="227156"/>
                <w:sz w:val="20"/>
              </w:rPr>
              <w:t xml:space="preserve">Working conclusion.  </w:t>
            </w:r>
            <w:r>
              <w:rPr>
                <w:rFonts w:ascii="Arial" w:hAnsi="Arial"/>
                <w:color w:val="212529"/>
                <w:sz w:val="19"/>
              </w:rPr>
              <w:t>If implemented as above, Zed has a strong argument that it is not providing a standalone money-changing/FX-dealing service to customers. This is a structural conclusion, not merely a naming convention.</w:t>
            </w:r>
          </w:p>
        </w:tc>
      </w:tr>
    </w:tbl>
    <w:p>
      <w:pPr>
        <w:spacing w:after="0"/>
      </w:pPr>
    </w:p>
    <w:p>
      <w:pPr>
        <w:pStyle w:val="Heading1"/>
      </w:pPr>
      <w:r>
        <w:t>5. SEC CASP analysis</w:t>
      </w:r>
    </w:p>
    <w:p>
      <w:r>
        <w:t>The SEC perimeter is the principal unresolved licensing issue. SEC MC 4, s. 2025 is broader than securities exchanges: it defines crypto-asset services to include offering crypto-assets to the public and crypto-asset intermediation. “Offeror” includes agents or representatives of the issuer; order execution includes subscribing for crypto-assets on behalf of clients; and order transmission includes receiving an order to subscribe/purchase and transmitting it to a third party.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F344E"/>
            <w:tcMar>
              <w:top w:w="90" w:type="dxa"/>
              <w:start w:w="90" w:type="dxa"/>
              <w:bottom w:w="90" w:type="dxa"/>
              <w:end w:w="90" w:type="dxa"/>
            </w:tcMar>
            <w:vAlign w:val="center"/>
          </w:tcPr>
          <w:p>
            <w:pPr>
              <w:jc w:val="left"/>
            </w:pPr>
            <w:r>
              <w:rPr>
                <w:rFonts w:ascii="Arial" w:hAnsi="Arial"/>
                <w:b/>
                <w:color w:val="FFFFFF"/>
                <w:sz w:val="17"/>
              </w:rPr>
              <w:t>SEC question</w:t>
            </w:r>
          </w:p>
        </w:tc>
        <w:tc>
          <w:tcPr>
            <w:tcW w:type="dxa" w:w="3744"/>
            <w:shd w:fill="1F344E"/>
            <w:tcMar>
              <w:top w:w="90" w:type="dxa"/>
              <w:start w:w="90" w:type="dxa"/>
              <w:bottom w:w="90" w:type="dxa"/>
              <w:end w:w="90" w:type="dxa"/>
            </w:tcMar>
            <w:vAlign w:val="center"/>
          </w:tcPr>
          <w:p>
            <w:pPr>
              <w:jc w:val="left"/>
            </w:pPr>
            <w:r>
              <w:rPr>
                <w:rFonts w:ascii="Arial" w:hAnsi="Arial"/>
                <w:b/>
                <w:color w:val="FFFFFF"/>
                <w:sz w:val="17"/>
              </w:rPr>
              <w:t>Working assessment</w:t>
            </w:r>
          </w:p>
        </w:tc>
        <w:tc>
          <w:tcPr>
            <w:tcW w:type="dxa" w:w="4031"/>
            <w:shd w:fill="1F344E"/>
            <w:tcMar>
              <w:top w:w="90" w:type="dxa"/>
              <w:start w:w="90" w:type="dxa"/>
              <w:bottom w:w="90" w:type="dxa"/>
              <w:end w:w="90" w:type="dxa"/>
            </w:tcMar>
            <w:vAlign w:val="center"/>
          </w:tcPr>
          <w:p>
            <w:pPr>
              <w:jc w:val="left"/>
            </w:pPr>
            <w:r>
              <w:rPr>
                <w:rFonts w:ascii="Arial" w:hAnsi="Arial"/>
                <w:b/>
                <w:color w:val="FFFFFF"/>
                <w:sz w:val="17"/>
              </w:rPr>
              <w:t>Recommended posture</w:t>
            </w:r>
          </w:p>
        </w:tc>
      </w:tr>
      <w:tr>
        <w:tc>
          <w:tcPr>
            <w:tcW w:type="dxa" w:w="2088"/>
            <w:tcMar>
              <w:top w:w="88" w:type="dxa"/>
              <w:start w:w="90" w:type="dxa"/>
              <w:bottom w:w="88" w:type="dxa"/>
              <w:end w:w="90" w:type="dxa"/>
            </w:tcMar>
            <w:vAlign w:val="center"/>
          </w:tcPr>
          <w:p>
            <w:pPr>
              <w:spacing w:after="0" w:line="247" w:lineRule="auto"/>
            </w:pPr>
            <w:r>
              <w:rPr>
                <w:rFonts w:ascii="Arial" w:hAnsi="Arial"/>
                <w:color w:val="212529"/>
                <w:sz w:val="17"/>
              </w:rPr>
              <w:t>Is Zed an “offeror”?</w:t>
            </w:r>
          </w:p>
        </w:tc>
        <w:tc>
          <w:tcPr>
            <w:tcW w:type="dxa" w:w="3744"/>
            <w:tcMar>
              <w:top w:w="88" w:type="dxa"/>
              <w:start w:w="90" w:type="dxa"/>
              <w:bottom w:w="88" w:type="dxa"/>
              <w:end w:w="90" w:type="dxa"/>
            </w:tcMar>
            <w:vAlign w:val="center"/>
          </w:tcPr>
          <w:p>
            <w:pPr>
              <w:spacing w:after="0" w:line="247" w:lineRule="auto"/>
            </w:pPr>
            <w:r>
              <w:rPr>
                <w:rFonts w:ascii="Arial" w:hAnsi="Arial"/>
                <w:color w:val="212529"/>
                <w:sz w:val="17"/>
              </w:rPr>
              <w:t>Material risk: yes. Zed is the Philippine-facing distributor and may be an agent/representative of the OUSD issuer.</w:t>
            </w:r>
          </w:p>
        </w:tc>
        <w:tc>
          <w:tcPr>
            <w:tcW w:type="dxa" w:w="4031"/>
            <w:tcMar>
              <w:top w:w="88" w:type="dxa"/>
              <w:start w:w="90" w:type="dxa"/>
              <w:bottom w:w="88" w:type="dxa"/>
              <w:end w:w="90" w:type="dxa"/>
            </w:tcMar>
            <w:vAlign w:val="center"/>
          </w:tcPr>
          <w:p>
            <w:pPr>
              <w:spacing w:after="0" w:line="247" w:lineRule="auto"/>
            </w:pPr>
            <w:r>
              <w:rPr>
                <w:rFonts w:ascii="Arial" w:hAnsi="Arial"/>
                <w:color w:val="212529"/>
                <w:sz w:val="17"/>
              </w:rPr>
              <w:t>Do not rely on “not an exchange.” Seek SEC confirmation / exemptive relief.</w:t>
            </w:r>
          </w:p>
        </w:tc>
      </w:tr>
      <w:tr>
        <w:tc>
          <w:tcPr>
            <w:tcW w:type="dxa" w:w="2088"/>
            <w:tcMar>
              <w:top w:w="88" w:type="dxa"/>
              <w:start w:w="90" w:type="dxa"/>
              <w:bottom w:w="88" w:type="dxa"/>
              <w:end w:w="90" w:type="dxa"/>
            </w:tcMar>
            <w:vAlign w:val="center"/>
          </w:tcPr>
          <w:p>
            <w:pPr>
              <w:spacing w:after="0" w:line="247" w:lineRule="auto"/>
            </w:pPr>
            <w:r>
              <w:rPr>
                <w:rFonts w:ascii="Arial" w:hAnsi="Arial"/>
                <w:color w:val="212529"/>
                <w:sz w:val="17"/>
              </w:rPr>
              <w:t>Order transmission / execution?</w:t>
            </w:r>
          </w:p>
        </w:tc>
        <w:tc>
          <w:tcPr>
            <w:tcW w:type="dxa" w:w="3744"/>
            <w:tcMar>
              <w:top w:w="88" w:type="dxa"/>
              <w:start w:w="90" w:type="dxa"/>
              <w:bottom w:w="88" w:type="dxa"/>
              <w:end w:w="90" w:type="dxa"/>
            </w:tcMar>
            <w:vAlign w:val="center"/>
          </w:tcPr>
          <w:p>
            <w:pPr>
              <w:spacing w:after="0" w:line="247" w:lineRule="auto"/>
            </w:pPr>
            <w:r>
              <w:rPr>
                <w:rFonts w:ascii="Arial" w:hAnsi="Arial"/>
                <w:color w:val="212529"/>
                <w:sz w:val="17"/>
              </w:rPr>
              <w:t>Material risk: customer instruction to obtain OUSD is transmitted through Zed to Bridge/issuer.</w:t>
            </w:r>
          </w:p>
        </w:tc>
        <w:tc>
          <w:tcPr>
            <w:tcW w:type="dxa" w:w="4031"/>
            <w:tcMar>
              <w:top w:w="88" w:type="dxa"/>
              <w:start w:w="90" w:type="dxa"/>
              <w:bottom w:w="88" w:type="dxa"/>
              <w:end w:w="90" w:type="dxa"/>
            </w:tcMar>
            <w:vAlign w:val="center"/>
          </w:tcPr>
          <w:p>
            <w:pPr>
              <w:spacing w:after="0" w:line="247" w:lineRule="auto"/>
            </w:pPr>
            <w:r>
              <w:rPr>
                <w:rFonts w:ascii="Arial" w:hAnsi="Arial"/>
                <w:color w:val="212529"/>
                <w:sz w:val="17"/>
              </w:rPr>
              <w:t>Structure Zed as narrow issuance distributor, zero trading/custody; seek registration exemption.</w:t>
            </w:r>
          </w:p>
        </w:tc>
      </w:tr>
      <w:tr>
        <w:tc>
          <w:tcPr>
            <w:tcW w:type="dxa" w:w="2088"/>
            <w:tcMar>
              <w:top w:w="88" w:type="dxa"/>
              <w:start w:w="90" w:type="dxa"/>
              <w:bottom w:w="88" w:type="dxa"/>
              <w:end w:w="90" w:type="dxa"/>
            </w:tcMar>
            <w:vAlign w:val="center"/>
          </w:tcPr>
          <w:p>
            <w:pPr>
              <w:spacing w:after="0" w:line="247" w:lineRule="auto"/>
            </w:pPr>
            <w:r>
              <w:rPr>
                <w:rFonts w:ascii="Arial" w:hAnsi="Arial"/>
                <w:color w:val="212529"/>
                <w:sz w:val="17"/>
              </w:rPr>
              <w:t>Public-offering disclosure?</w:t>
            </w:r>
          </w:p>
        </w:tc>
        <w:tc>
          <w:tcPr>
            <w:tcW w:type="dxa" w:w="3744"/>
            <w:tcMar>
              <w:top w:w="88" w:type="dxa"/>
              <w:start w:w="90" w:type="dxa"/>
              <w:bottom w:w="88" w:type="dxa"/>
              <w:end w:w="90" w:type="dxa"/>
            </w:tcMar>
            <w:vAlign w:val="center"/>
          </w:tcPr>
          <w:p>
            <w:pPr>
              <w:spacing w:after="0" w:line="247" w:lineRule="auto"/>
            </w:pPr>
            <w:r>
              <w:rPr>
                <w:rFonts w:ascii="Arial" w:hAnsi="Arial"/>
                <w:color w:val="212529"/>
                <w:sz w:val="17"/>
              </w:rPr>
              <w:t>Likely relevant even if OUSD is not a security. MC 4 Section 5 requires a disclosure document unless an exemption applies.</w:t>
            </w:r>
          </w:p>
        </w:tc>
        <w:tc>
          <w:tcPr>
            <w:tcW w:type="dxa" w:w="4031"/>
            <w:tcMar>
              <w:top w:w="88" w:type="dxa"/>
              <w:start w:w="90" w:type="dxa"/>
              <w:bottom w:w="88" w:type="dxa"/>
              <w:end w:w="90" w:type="dxa"/>
            </w:tcMar>
            <w:vAlign w:val="center"/>
          </w:tcPr>
          <w:p>
            <w:pPr>
              <w:spacing w:after="0" w:line="247" w:lineRule="auto"/>
            </w:pPr>
            <w:r>
              <w:rPr>
                <w:rFonts w:ascii="Arial" w:hAnsi="Arial"/>
                <w:color w:val="212529"/>
                <w:sz w:val="17"/>
              </w:rPr>
              <w:t>Coordinate issuer + Zed filing/relief strategy; seek Section 5.5.4 exemption if appropriate.</w:t>
            </w:r>
          </w:p>
        </w:tc>
      </w:tr>
      <w:tr>
        <w:tc>
          <w:tcPr>
            <w:tcW w:type="dxa" w:w="2088"/>
            <w:tcMar>
              <w:top w:w="88" w:type="dxa"/>
              <w:start w:w="90" w:type="dxa"/>
              <w:bottom w:w="88" w:type="dxa"/>
              <w:end w:w="90" w:type="dxa"/>
            </w:tcMar>
            <w:vAlign w:val="center"/>
          </w:tcPr>
          <w:p>
            <w:pPr>
              <w:spacing w:after="0" w:line="247" w:lineRule="auto"/>
            </w:pPr>
            <w:r>
              <w:rPr>
                <w:rFonts w:ascii="Arial" w:hAnsi="Arial"/>
                <w:color w:val="212529"/>
                <w:sz w:val="17"/>
              </w:rPr>
              <w:t>Full CASP registration?</w:t>
            </w:r>
          </w:p>
        </w:tc>
        <w:tc>
          <w:tcPr>
            <w:tcW w:type="dxa" w:w="3744"/>
            <w:tcMar>
              <w:top w:w="88" w:type="dxa"/>
              <w:start w:w="90" w:type="dxa"/>
              <w:bottom w:w="88" w:type="dxa"/>
              <w:end w:w="90" w:type="dxa"/>
            </w:tcMar>
            <w:vAlign w:val="center"/>
          </w:tcPr>
          <w:p>
            <w:pPr>
              <w:spacing w:after="0" w:line="247" w:lineRule="auto"/>
            </w:pPr>
            <w:r>
              <w:rPr>
                <w:rFonts w:ascii="Arial" w:hAnsi="Arial"/>
                <w:color w:val="212529"/>
                <w:sz w:val="17"/>
              </w:rPr>
              <w:t>Not the preferred result and arguably disproportionate to the narrow model.</w:t>
            </w:r>
          </w:p>
        </w:tc>
        <w:tc>
          <w:tcPr>
            <w:tcW w:type="dxa" w:w="4031"/>
            <w:tcMar>
              <w:top w:w="88" w:type="dxa"/>
              <w:start w:w="90" w:type="dxa"/>
              <w:bottom w:w="88" w:type="dxa"/>
              <w:end w:w="90" w:type="dxa"/>
            </w:tcMar>
            <w:vAlign w:val="center"/>
          </w:tcPr>
          <w:p>
            <w:pPr>
              <w:spacing w:after="0" w:line="247" w:lineRule="auto"/>
            </w:pPr>
            <w:r>
              <w:rPr>
                <w:rFonts w:ascii="Arial" w:hAnsi="Arial"/>
                <w:color w:val="212529"/>
                <w:sz w:val="17"/>
              </w:rPr>
              <w:t>Apply for exemption under MC 5 if counsel confirms availability; use StratBox for pilot if needed.</w:t>
            </w:r>
          </w:p>
        </w:tc>
      </w:tr>
    </w:tbl>
    <w:p>
      <w:pPr>
        <w:spacing w:after="20"/>
      </w:pPr>
    </w:p>
    <w:p>
      <w:pPr>
        <w:pStyle w:val="Heading2"/>
      </w:pPr>
      <w:r>
        <w:t>5.1 Recommended SEC strategy</w:t>
      </w:r>
    </w:p>
    <w:p>
      <w:pPr>
        <w:pStyle w:val="ListNumber"/>
        <w:spacing w:after="60"/>
      </w:pPr>
      <w:r>
        <w:rPr>
          <w:b/>
        </w:rPr>
        <w:t xml:space="preserve">Request interpretive confirmation first. </w:t>
      </w:r>
      <w:r>
        <w:t>Present the narrow fact pattern: one third-party USD stablecoin; primary issuance/redemption only; no secondary trading; no custody; no spread/issuance fee; user-owned wallets; existing BSP supervision.</w:t>
      </w:r>
    </w:p>
    <w:p>
      <w:pPr>
        <w:pStyle w:val="ListNumber"/>
        <w:spacing w:after="60"/>
      </w:pPr>
      <w:r>
        <w:rPr>
          <w:b/>
        </w:rPr>
        <w:t xml:space="preserve">If Zed is treated as a CASP, seek exemption from CASP registration. </w:t>
      </w:r>
      <w:r>
        <w:t>SEC MC 5 is reported to permit an order granting exemption where consistent with the public interest and protection of investors. The 50-user controlled pilot, existing KYC, and narrow product scope support that request.</w:t>
      </w:r>
    </w:p>
    <w:p>
      <w:pPr>
        <w:pStyle w:val="ListNumber"/>
        <w:spacing w:after="60"/>
      </w:pPr>
      <w:r>
        <w:rPr>
          <w:b/>
        </w:rPr>
        <w:t xml:space="preserve">Address the offering separately. </w:t>
      </w:r>
      <w:r>
        <w:t>Even if CASP registration is exempted, determine whether the OUSD offer requires the Section 5 disclosure document or a separate offering exemption under MC 4 Section 5.5.4.</w:t>
      </w:r>
    </w:p>
    <w:p>
      <w:pPr>
        <w:pStyle w:val="ListNumber"/>
        <w:spacing w:after="60"/>
      </w:pPr>
      <w:r>
        <w:rPr>
          <w:b/>
        </w:rPr>
        <w:t xml:space="preserve">Use SEC StratBox as pilot fallback. </w:t>
      </w:r>
      <w:r>
        <w:t>MC 9, s. 2024 allows controlled testing with potential relaxation of specific licensing/registration/compliance requirements.</w:t>
      </w:r>
    </w:p>
    <w:p>
      <w:pPr>
        <w:pStyle w:val="Heading1"/>
      </w:pPr>
      <w:r>
        <w:t>6. Securities / investment-contract analysis</w:t>
      </w:r>
    </w:p>
    <w:p>
      <w:r>
        <w:t>OUSD should be analyzed separately from the CASP regime. The Philippine Supreme Court applies the Howey-style investment-contract test: investment of money in a common enterprise with an expectation of profits primarily from the efforts of others. A non-security crypto-asset can still be subject to the CASP Rules, so this analysis does not resolve the CASP issue.</w:t>
      </w:r>
    </w:p>
    <w:p>
      <w:pPr>
        <w:pStyle w:val="ListBullet"/>
        <w:spacing w:after="50"/>
      </w:pPr>
      <w:r>
        <w:rPr>
          <w:b/>
        </w:rPr>
        <w:t xml:space="preserve">Working position: </w:t>
      </w:r>
      <w:r>
        <w:t>OUSD itself is not a crypto-asset security if the holder’s substantive right is 1:1 dollar redemption and OUSD does not itself entitle the holder to reserve income or profits.</w:t>
      </w:r>
    </w:p>
    <w:p>
      <w:pPr>
        <w:pStyle w:val="ListBullet"/>
        <w:spacing w:after="50"/>
      </w:pPr>
      <w:r>
        <w:rPr>
          <w:b/>
        </w:rPr>
        <w:t xml:space="preserve">Key risk: </w:t>
      </w:r>
      <w:r>
        <w:t>marketing the product as “Treasury yield on your OUSD” could make profit expectation more central to the token acquisition.</w:t>
      </w:r>
    </w:p>
    <w:p>
      <w:pPr>
        <w:pStyle w:val="ListBullet"/>
        <w:spacing w:after="50"/>
      </w:pPr>
      <w:r>
        <w:rPr>
          <w:b/>
        </w:rPr>
        <w:t xml:space="preserve">Mitigation: </w:t>
      </w:r>
      <w:r>
        <w:t>treat Open Standard’s partner payment as Zed’s Marketing Fee; maintain separate Zed Rewards terms; state that rewards are variable and determined by Zed, not a contractual yield right embedded in OUSD.</w:t>
      </w:r>
    </w:p>
    <w:p>
      <w:pPr>
        <w:pStyle w:val="Heading1"/>
      </w:pPr>
      <w:r>
        <w:t>7. E-money, deposit-taking, and product characterization</w:t>
      </w:r>
    </w:p>
    <w:p>
      <w:r>
        <w:t>The product should not create a Zed monetary-value liability. BSP’s e-money definition turns on monetary value represented by a claim on its issuer, issued against receipt of funds, accepted as payment, and redeemable. Here, the customer’s asset is OUSD issued by the OUSD issuer and held directly on-chain, not a Zed-issued wallet balance. Likewise, Zed should not hold itself out as taking deposits or owing a dollar account balance.</w:t>
      </w:r>
    </w:p>
    <w:p>
      <w:pPr>
        <w:pStyle w:val="ListBullet"/>
        <w:spacing w:after="50"/>
      </w:pPr>
      <w:r>
        <w:t>Avoid “deposit,” “savings account,” “USD account,” or “insured balance” unless specifically approved by counsel.</w:t>
      </w:r>
    </w:p>
    <w:p>
      <w:pPr>
        <w:pStyle w:val="ListBullet"/>
        <w:spacing w:after="50"/>
      </w:pPr>
      <w:r>
        <w:t>Use “OUSD Wallet,” “Dollar Wallet,” or similar language that makes the underlying stablecoin and self-custody clear.</w:t>
      </w:r>
    </w:p>
    <w:p>
      <w:pPr>
        <w:pStyle w:val="ListBullet"/>
        <w:spacing w:after="50"/>
      </w:pPr>
      <w:r>
        <w:t>Disclose that OUSD is not a Philippine bank deposit and is not PDIC-insured.</w:t>
      </w:r>
    </w:p>
    <w:p>
      <w:pPr>
        <w:pStyle w:val="Heading1"/>
      </w:pPr>
      <w:r>
        <w:t>8. AML, consumer protection, and controls that remain</w:t>
      </w:r>
    </w:p>
    <w:p>
      <w:pPr>
        <w:pStyle w:val="ListBullet"/>
        <w:spacing w:after="50"/>
      </w:pPr>
      <w:r>
        <w:t>Existing Zed KYC/AML and transaction-monitoring obligations continue to apply; crypto-related indicators should be added to monitoring and case-management rules.</w:t>
      </w:r>
    </w:p>
    <w:p>
      <w:pPr>
        <w:pStyle w:val="ListBullet"/>
        <w:spacing w:after="50"/>
      </w:pPr>
      <w:r>
        <w:t>Bridge/issuer customer-attribution data should be aligned to Zed KYC records without making Bridge a direct-access offshore retail platform.</w:t>
      </w:r>
    </w:p>
    <w:p>
      <w:pPr>
        <w:pStyle w:val="ListBullet"/>
        <w:spacing w:after="50"/>
      </w:pPr>
      <w:r>
        <w:t>Open-loop wallet activity creates inbound/outbound blockchain exposure. Zed should screen relevant wallet addresses/transactions and define unsupported/high-risk asset and sanctions handling.</w:t>
      </w:r>
    </w:p>
    <w:p>
      <w:pPr>
        <w:pStyle w:val="ListBullet"/>
        <w:spacing w:after="50"/>
      </w:pPr>
      <w:r>
        <w:t>Disclosures should cover stablecoin/reserve risk, smart-contract/blockchain risk, self-custody/recovery, variable rewards, FX exposure of PHP value, and absence of deposit insurance.</w:t>
      </w:r>
    </w:p>
    <w:p>
      <w:pPr>
        <w:pStyle w:val="Heading1"/>
      </w:pPr>
      <w:r>
        <w:t>9. Facts the product should deliberately avoid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384"/>
            <w:shd w:fill="1F344E"/>
            <w:tcMar>
              <w:top w:w="90" w:type="dxa"/>
              <w:start w:w="90" w:type="dxa"/>
              <w:bottom w:w="90" w:type="dxa"/>
              <w:end w:w="90" w:type="dxa"/>
            </w:tcMar>
            <w:vAlign w:val="center"/>
          </w:tcPr>
          <w:p>
            <w:pPr>
              <w:jc w:val="left"/>
            </w:pPr>
            <w:r>
              <w:rPr>
                <w:rFonts w:ascii="Arial" w:hAnsi="Arial"/>
                <w:b/>
                <w:color w:val="FFFFFF"/>
                <w:sz w:val="17"/>
              </w:rPr>
              <w:t>Avoid</w:t>
            </w:r>
          </w:p>
        </w:tc>
        <w:tc>
          <w:tcPr>
            <w:tcW w:type="dxa" w:w="6480"/>
            <w:shd w:fill="1F344E"/>
            <w:tcMar>
              <w:top w:w="90" w:type="dxa"/>
              <w:start w:w="90" w:type="dxa"/>
              <w:bottom w:w="90" w:type="dxa"/>
              <w:end w:w="90" w:type="dxa"/>
            </w:tcMar>
            <w:vAlign w:val="center"/>
          </w:tcPr>
          <w:p>
            <w:pPr>
              <w:jc w:val="left"/>
            </w:pPr>
            <w:r>
              <w:rPr>
                <w:rFonts w:ascii="Arial" w:hAnsi="Arial"/>
                <w:b/>
                <w:color w:val="FFFFFF"/>
                <w:sz w:val="17"/>
              </w:rPr>
              <w:t>Why</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Customer USD balances or entitlements</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Creates an unnecessary customer FX/account product.</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Zed issuance or FX spread</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Makes Zed look economically like a dealer/exchanger.</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Zed OUSD inventory sold to customers</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Weakens primary-issuance / issuer-offer position.</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Customer OUSD sent to Zed for redemption</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Creates a direct VA-&gt;fiat exchange fact pattern at Zed.</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Zed omnibus customer wallet</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Creates custody/control and internal liability ledger facts.</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Zed unilateral Privy signer</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Undermines self-custody and no-control position.</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USDC as a customer-visible/intermediate entitlement</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Creates avoidable VA-&gt;VA or outsourced trading facts.</w:t>
            </w:r>
          </w:p>
        </w:tc>
      </w:tr>
      <w:tr>
        <w:tc>
          <w:tcPr>
            <w:tcW w:type="dxa" w:w="3384"/>
            <w:tcMar>
              <w:top w:w="88" w:type="dxa"/>
              <w:start w:w="90" w:type="dxa"/>
              <w:bottom w:w="88" w:type="dxa"/>
              <w:end w:w="90" w:type="dxa"/>
            </w:tcMar>
            <w:vAlign w:val="center"/>
          </w:tcPr>
          <w:p>
            <w:pPr>
              <w:spacing w:after="0" w:line="247" w:lineRule="auto"/>
            </w:pPr>
            <w:r>
              <w:rPr>
                <w:rFonts w:ascii="Arial" w:hAnsi="Arial"/>
                <w:color w:val="212529"/>
                <w:sz w:val="17"/>
              </w:rPr>
              <w:t>“Guaranteed yield” / “Treasury interest” language</w:t>
            </w:r>
          </w:p>
        </w:tc>
        <w:tc>
          <w:tcPr>
            <w:tcW w:type="dxa" w:w="6480"/>
            <w:tcMar>
              <w:top w:w="88" w:type="dxa"/>
              <w:start w:w="90" w:type="dxa"/>
              <w:bottom w:w="88" w:type="dxa"/>
              <w:end w:w="90" w:type="dxa"/>
            </w:tcMar>
            <w:vAlign w:val="center"/>
          </w:tcPr>
          <w:p>
            <w:pPr>
              <w:spacing w:after="0" w:line="247" w:lineRule="auto"/>
            </w:pPr>
            <w:r>
              <w:rPr>
                <w:rFonts w:ascii="Arial" w:hAnsi="Arial"/>
                <w:color w:val="212529"/>
                <w:sz w:val="17"/>
              </w:rPr>
              <w:t>Raises securities and consumer-protection risk.</w:t>
            </w:r>
          </w:p>
        </w:tc>
      </w:tr>
    </w:tbl>
    <w:p>
      <w:pPr>
        <w:spacing w:after="20"/>
      </w:pPr>
    </w:p>
    <w:p>
      <w:pPr>
        <w:pStyle w:val="Heading1"/>
      </w:pPr>
      <w:r>
        <w:t>10. Working conclusions and regulatory action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F344E"/>
            <w:tcMar>
              <w:top w:w="90" w:type="dxa"/>
              <w:start w:w="90" w:type="dxa"/>
              <w:bottom w:w="90" w:type="dxa"/>
              <w:end w:w="90" w:type="dxa"/>
            </w:tcMar>
            <w:vAlign w:val="center"/>
          </w:tcPr>
          <w:p>
            <w:pPr>
              <w:jc w:val="left"/>
            </w:pPr>
            <w:r>
              <w:rPr>
                <w:rFonts w:ascii="Arial" w:hAnsi="Arial"/>
                <w:b/>
                <w:color w:val="FFFFFF"/>
                <w:sz w:val="17"/>
              </w:rPr>
              <w:t>Regulatory perimeter</w:t>
            </w:r>
          </w:p>
        </w:tc>
        <w:tc>
          <w:tcPr>
            <w:tcW w:type="dxa" w:w="4392"/>
            <w:shd w:fill="1F344E"/>
            <w:tcMar>
              <w:top w:w="90" w:type="dxa"/>
              <w:start w:w="90" w:type="dxa"/>
              <w:bottom w:w="90" w:type="dxa"/>
              <w:end w:w="90" w:type="dxa"/>
            </w:tcMar>
            <w:vAlign w:val="center"/>
          </w:tcPr>
          <w:p>
            <w:pPr>
              <w:jc w:val="left"/>
            </w:pPr>
            <w:r>
              <w:rPr>
                <w:rFonts w:ascii="Arial" w:hAnsi="Arial"/>
                <w:b/>
                <w:color w:val="FFFFFF"/>
                <w:sz w:val="17"/>
              </w:rPr>
              <w:t>Working conclusion</w:t>
            </w:r>
          </w:p>
        </w:tc>
        <w:tc>
          <w:tcPr>
            <w:tcW w:type="dxa" w:w="3240"/>
            <w:shd w:fill="1F344E"/>
            <w:tcMar>
              <w:top w:w="90" w:type="dxa"/>
              <w:start w:w="90" w:type="dxa"/>
              <w:bottom w:w="90" w:type="dxa"/>
              <w:end w:w="90" w:type="dxa"/>
            </w:tcMar>
            <w:vAlign w:val="center"/>
          </w:tcPr>
          <w:p>
            <w:pPr>
              <w:jc w:val="left"/>
            </w:pPr>
            <w:r>
              <w:rPr>
                <w:rFonts w:ascii="Arial" w:hAnsi="Arial"/>
                <w:b/>
                <w:color w:val="FFFFFF"/>
                <w:sz w:val="17"/>
              </w:rPr>
              <w:t>Next action</w:t>
            </w:r>
          </w:p>
        </w:tc>
      </w:tr>
      <w:tr>
        <w:tc>
          <w:tcPr>
            <w:tcW w:type="dxa" w:w="2232"/>
            <w:tcMar>
              <w:top w:w="88" w:type="dxa"/>
              <w:start w:w="90" w:type="dxa"/>
              <w:bottom w:w="88" w:type="dxa"/>
              <w:end w:w="90" w:type="dxa"/>
            </w:tcMar>
            <w:vAlign w:val="center"/>
          </w:tcPr>
          <w:p>
            <w:pPr>
              <w:spacing w:after="0" w:line="247" w:lineRule="auto"/>
            </w:pPr>
            <w:r>
              <w:rPr>
                <w:rFonts w:ascii="Arial" w:hAnsi="Arial"/>
                <w:color w:val="212529"/>
                <w:sz w:val="17"/>
              </w:rPr>
              <w:t>BSP VASP</w:t>
            </w:r>
          </w:p>
        </w:tc>
        <w:tc>
          <w:tcPr>
            <w:tcW w:type="dxa" w:w="4392"/>
            <w:tcMar>
              <w:top w:w="88" w:type="dxa"/>
              <w:start w:w="90" w:type="dxa"/>
              <w:bottom w:w="88" w:type="dxa"/>
              <w:end w:w="90" w:type="dxa"/>
            </w:tcMar>
            <w:vAlign w:val="center"/>
          </w:tcPr>
          <w:p>
            <w:pPr>
              <w:spacing w:after="0" w:line="247" w:lineRule="auto"/>
            </w:pPr>
            <w:r>
              <w:rPr>
                <w:rFonts w:ascii="Arial" w:hAnsi="Arial"/>
                <w:color w:val="212529"/>
                <w:sz w:val="17"/>
              </w:rPr>
              <w:t>Strong argument that no VASP authority is required if primary issuance/redemption + self-custody facts are preserved.</w:t>
            </w:r>
          </w:p>
        </w:tc>
        <w:tc>
          <w:tcPr>
            <w:tcW w:type="dxa" w:w="3240"/>
            <w:tcMar>
              <w:top w:w="88" w:type="dxa"/>
              <w:start w:w="90" w:type="dxa"/>
              <w:bottom w:w="88" w:type="dxa"/>
              <w:end w:w="90" w:type="dxa"/>
            </w:tcMar>
            <w:vAlign w:val="center"/>
          </w:tcPr>
          <w:p>
            <w:pPr>
              <w:spacing w:after="0" w:line="247" w:lineRule="auto"/>
            </w:pPr>
            <w:r>
              <w:rPr>
                <w:rFonts w:ascii="Arial" w:hAnsi="Arial"/>
                <w:color w:val="212529"/>
                <w:sz w:val="17"/>
              </w:rPr>
              <w:t>Counsel opinion; if desired, supervisory discussion with BSP.</w:t>
            </w:r>
          </w:p>
        </w:tc>
      </w:tr>
      <w:tr>
        <w:tc>
          <w:tcPr>
            <w:tcW w:type="dxa" w:w="2232"/>
            <w:tcMar>
              <w:top w:w="88" w:type="dxa"/>
              <w:start w:w="90" w:type="dxa"/>
              <w:bottom w:w="88" w:type="dxa"/>
              <w:end w:w="90" w:type="dxa"/>
            </w:tcMar>
            <w:vAlign w:val="center"/>
          </w:tcPr>
          <w:p>
            <w:pPr>
              <w:spacing w:after="0" w:line="247" w:lineRule="auto"/>
            </w:pPr>
            <w:r>
              <w:rPr>
                <w:rFonts w:ascii="Arial" w:hAnsi="Arial"/>
                <w:color w:val="212529"/>
                <w:sz w:val="17"/>
              </w:rPr>
              <w:t>MC/FXD</w:t>
            </w:r>
          </w:p>
        </w:tc>
        <w:tc>
          <w:tcPr>
            <w:tcW w:type="dxa" w:w="4392"/>
            <w:tcMar>
              <w:top w:w="88" w:type="dxa"/>
              <w:start w:w="90" w:type="dxa"/>
              <w:bottom w:w="88" w:type="dxa"/>
              <w:end w:w="90" w:type="dxa"/>
            </w:tcMar>
            <w:vAlign w:val="center"/>
          </w:tcPr>
          <w:p>
            <w:pPr>
              <w:spacing w:after="0" w:line="247" w:lineRule="auto"/>
            </w:pPr>
            <w:r>
              <w:rPr>
                <w:rFonts w:ascii="Arial" w:hAnsi="Arial"/>
                <w:color w:val="212529"/>
                <w:sz w:val="17"/>
              </w:rPr>
              <w:t>Strong argument no customer FX service.</w:t>
            </w:r>
          </w:p>
        </w:tc>
        <w:tc>
          <w:tcPr>
            <w:tcW w:type="dxa" w:w="3240"/>
            <w:tcMar>
              <w:top w:w="88" w:type="dxa"/>
              <w:start w:w="90" w:type="dxa"/>
              <w:bottom w:w="88" w:type="dxa"/>
              <w:end w:w="90" w:type="dxa"/>
            </w:tcMar>
            <w:vAlign w:val="center"/>
          </w:tcPr>
          <w:p>
            <w:pPr>
              <w:spacing w:after="0" w:line="247" w:lineRule="auto"/>
            </w:pPr>
            <w:r>
              <w:rPr>
                <w:rFonts w:ascii="Arial" w:hAnsi="Arial"/>
                <w:color w:val="212529"/>
                <w:sz w:val="17"/>
              </w:rPr>
              <w:t>Implement zero-spread issuance and aggregate own-account treasury.</w:t>
            </w:r>
          </w:p>
        </w:tc>
      </w:tr>
      <w:tr>
        <w:tc>
          <w:tcPr>
            <w:tcW w:type="dxa" w:w="2232"/>
            <w:tcMar>
              <w:top w:w="88" w:type="dxa"/>
              <w:start w:w="90" w:type="dxa"/>
              <w:bottom w:w="88" w:type="dxa"/>
              <w:end w:w="90" w:type="dxa"/>
            </w:tcMar>
            <w:vAlign w:val="center"/>
          </w:tcPr>
          <w:p>
            <w:pPr>
              <w:spacing w:after="0" w:line="247" w:lineRule="auto"/>
            </w:pPr>
            <w:r>
              <w:rPr>
                <w:rFonts w:ascii="Arial" w:hAnsi="Arial"/>
                <w:color w:val="212529"/>
                <w:sz w:val="17"/>
              </w:rPr>
              <w:t>SEC CASP</w:t>
            </w:r>
          </w:p>
        </w:tc>
        <w:tc>
          <w:tcPr>
            <w:tcW w:type="dxa" w:w="4392"/>
            <w:tcMar>
              <w:top w:w="88" w:type="dxa"/>
              <w:start w:w="90" w:type="dxa"/>
              <w:bottom w:w="88" w:type="dxa"/>
              <w:end w:w="90" w:type="dxa"/>
            </w:tcMar>
            <w:vAlign w:val="center"/>
          </w:tcPr>
          <w:p>
            <w:pPr>
              <w:spacing w:after="0" w:line="247" w:lineRule="auto"/>
            </w:pPr>
            <w:r>
              <w:rPr>
                <w:rFonts w:ascii="Arial" w:hAnsi="Arial"/>
                <w:color w:val="212529"/>
                <w:sz w:val="17"/>
              </w:rPr>
              <w:t>Material issue remains.</w:t>
            </w:r>
          </w:p>
        </w:tc>
        <w:tc>
          <w:tcPr>
            <w:tcW w:type="dxa" w:w="3240"/>
            <w:tcMar>
              <w:top w:w="88" w:type="dxa"/>
              <w:start w:w="90" w:type="dxa"/>
              <w:bottom w:w="88" w:type="dxa"/>
              <w:end w:w="90" w:type="dxa"/>
            </w:tcMar>
            <w:vAlign w:val="center"/>
          </w:tcPr>
          <w:p>
            <w:pPr>
              <w:spacing w:after="0" w:line="247" w:lineRule="auto"/>
            </w:pPr>
            <w:r>
              <w:rPr>
                <w:rFonts w:ascii="Arial" w:hAnsi="Arial"/>
                <w:color w:val="212529"/>
                <w:sz w:val="17"/>
              </w:rPr>
              <w:t>Seek interpretation; if needed, CASP registration exemption. Consider StratBox for pilot.</w:t>
            </w:r>
          </w:p>
        </w:tc>
      </w:tr>
      <w:tr>
        <w:tc>
          <w:tcPr>
            <w:tcW w:type="dxa" w:w="2232"/>
            <w:tcMar>
              <w:top w:w="88" w:type="dxa"/>
              <w:start w:w="90" w:type="dxa"/>
              <w:bottom w:w="88" w:type="dxa"/>
              <w:end w:w="90" w:type="dxa"/>
            </w:tcMar>
            <w:vAlign w:val="center"/>
          </w:tcPr>
          <w:p>
            <w:pPr>
              <w:spacing w:after="0" w:line="247" w:lineRule="auto"/>
            </w:pPr>
            <w:r>
              <w:rPr>
                <w:rFonts w:ascii="Arial" w:hAnsi="Arial"/>
                <w:color w:val="212529"/>
                <w:sz w:val="17"/>
              </w:rPr>
              <w:t>SEC crypto-asset offering</w:t>
            </w:r>
          </w:p>
        </w:tc>
        <w:tc>
          <w:tcPr>
            <w:tcW w:type="dxa" w:w="4392"/>
            <w:tcMar>
              <w:top w:w="88" w:type="dxa"/>
              <w:start w:w="90" w:type="dxa"/>
              <w:bottom w:w="88" w:type="dxa"/>
              <w:end w:w="90" w:type="dxa"/>
            </w:tcMar>
            <w:vAlign w:val="center"/>
          </w:tcPr>
          <w:p>
            <w:pPr>
              <w:spacing w:after="0" w:line="247" w:lineRule="auto"/>
            </w:pPr>
            <w:r>
              <w:rPr>
                <w:rFonts w:ascii="Arial" w:hAnsi="Arial"/>
                <w:color w:val="212529"/>
                <w:sz w:val="17"/>
              </w:rPr>
              <w:t>Likely relevant.</w:t>
            </w:r>
          </w:p>
        </w:tc>
        <w:tc>
          <w:tcPr>
            <w:tcW w:type="dxa" w:w="3240"/>
            <w:tcMar>
              <w:top w:w="88" w:type="dxa"/>
              <w:start w:w="90" w:type="dxa"/>
              <w:bottom w:w="88" w:type="dxa"/>
              <w:end w:w="90" w:type="dxa"/>
            </w:tcMar>
            <w:vAlign w:val="center"/>
          </w:tcPr>
          <w:p>
            <w:pPr>
              <w:spacing w:after="0" w:line="247" w:lineRule="auto"/>
            </w:pPr>
            <w:r>
              <w:rPr>
                <w:rFonts w:ascii="Arial" w:hAnsi="Arial"/>
                <w:color w:val="212529"/>
                <w:sz w:val="17"/>
              </w:rPr>
              <w:t>Determine disclosure filing vs. Section 5.5.4 exemption.</w:t>
            </w:r>
          </w:p>
        </w:tc>
      </w:tr>
      <w:tr>
        <w:tc>
          <w:tcPr>
            <w:tcW w:type="dxa" w:w="2232"/>
            <w:tcMar>
              <w:top w:w="88" w:type="dxa"/>
              <w:start w:w="90" w:type="dxa"/>
              <w:bottom w:w="88" w:type="dxa"/>
              <w:end w:w="90" w:type="dxa"/>
            </w:tcMar>
            <w:vAlign w:val="center"/>
          </w:tcPr>
          <w:p>
            <w:pPr>
              <w:spacing w:after="0" w:line="247" w:lineRule="auto"/>
            </w:pPr>
            <w:r>
              <w:rPr>
                <w:rFonts w:ascii="Arial" w:hAnsi="Arial"/>
                <w:color w:val="212529"/>
                <w:sz w:val="17"/>
              </w:rPr>
              <w:t>Crypto-asset security</w:t>
            </w:r>
          </w:p>
        </w:tc>
        <w:tc>
          <w:tcPr>
            <w:tcW w:type="dxa" w:w="4392"/>
            <w:tcMar>
              <w:top w:w="88" w:type="dxa"/>
              <w:start w:w="90" w:type="dxa"/>
              <w:bottom w:w="88" w:type="dxa"/>
              <w:end w:w="90" w:type="dxa"/>
            </w:tcMar>
            <w:vAlign w:val="center"/>
          </w:tcPr>
          <w:p>
            <w:pPr>
              <w:spacing w:after="0" w:line="247" w:lineRule="auto"/>
            </w:pPr>
            <w:r>
              <w:rPr>
                <w:rFonts w:ascii="Arial" w:hAnsi="Arial"/>
                <w:color w:val="212529"/>
                <w:sz w:val="17"/>
              </w:rPr>
              <w:t>Working position: OUSD not a security; rewards must remain separate.</w:t>
            </w:r>
          </w:p>
        </w:tc>
        <w:tc>
          <w:tcPr>
            <w:tcW w:type="dxa" w:w="3240"/>
            <w:tcMar>
              <w:top w:w="88" w:type="dxa"/>
              <w:start w:w="90" w:type="dxa"/>
              <w:bottom w:w="88" w:type="dxa"/>
              <w:end w:w="90" w:type="dxa"/>
            </w:tcMar>
            <w:vAlign w:val="center"/>
          </w:tcPr>
          <w:p>
            <w:pPr>
              <w:spacing w:after="0" w:line="247" w:lineRule="auto"/>
            </w:pPr>
            <w:r>
              <w:rPr>
                <w:rFonts w:ascii="Arial" w:hAnsi="Arial"/>
                <w:color w:val="212529"/>
                <w:sz w:val="17"/>
              </w:rPr>
              <w:t>Counsel Howey analysis and final marketing review.</w:t>
            </w:r>
          </w:p>
        </w:tc>
      </w:tr>
      <w:tr>
        <w:tc>
          <w:tcPr>
            <w:tcW w:type="dxa" w:w="2232"/>
            <w:tcMar>
              <w:top w:w="88" w:type="dxa"/>
              <w:start w:w="90" w:type="dxa"/>
              <w:bottom w:w="88" w:type="dxa"/>
              <w:end w:w="90" w:type="dxa"/>
            </w:tcMar>
            <w:vAlign w:val="center"/>
          </w:tcPr>
          <w:p>
            <w:pPr>
              <w:spacing w:after="0" w:line="247" w:lineRule="auto"/>
            </w:pPr>
            <w:r>
              <w:rPr>
                <w:rFonts w:ascii="Arial" w:hAnsi="Arial"/>
                <w:color w:val="212529"/>
                <w:sz w:val="17"/>
              </w:rPr>
              <w:t>EMI/deposit-taking</w:t>
            </w:r>
          </w:p>
        </w:tc>
        <w:tc>
          <w:tcPr>
            <w:tcW w:type="dxa" w:w="4392"/>
            <w:tcMar>
              <w:top w:w="88" w:type="dxa"/>
              <w:start w:w="90" w:type="dxa"/>
              <w:bottom w:w="88" w:type="dxa"/>
              <w:end w:w="90" w:type="dxa"/>
            </w:tcMar>
            <w:vAlign w:val="center"/>
          </w:tcPr>
          <w:p>
            <w:pPr>
              <w:spacing w:after="0" w:line="247" w:lineRule="auto"/>
            </w:pPr>
            <w:r>
              <w:rPr>
                <w:rFonts w:ascii="Arial" w:hAnsi="Arial"/>
                <w:color w:val="212529"/>
                <w:sz w:val="17"/>
              </w:rPr>
              <w:t>Strong argument no, if no Zed-issued monetary liability.</w:t>
            </w:r>
          </w:p>
        </w:tc>
        <w:tc>
          <w:tcPr>
            <w:tcW w:type="dxa" w:w="3240"/>
            <w:tcMar>
              <w:top w:w="88" w:type="dxa"/>
              <w:start w:w="90" w:type="dxa"/>
              <w:bottom w:w="88" w:type="dxa"/>
              <w:end w:w="90" w:type="dxa"/>
            </w:tcMar>
            <w:vAlign w:val="center"/>
          </w:tcPr>
          <w:p>
            <w:pPr>
              <w:spacing w:after="0" w:line="247" w:lineRule="auto"/>
            </w:pPr>
            <w:r>
              <w:rPr>
                <w:rFonts w:ascii="Arial" w:hAnsi="Arial"/>
                <w:color w:val="212529"/>
                <w:sz w:val="17"/>
              </w:rPr>
              <w:t>Maintain wallet/stablecoin terminology and disclosures.</w:t>
            </w:r>
          </w:p>
        </w:tc>
      </w:tr>
      <w:tr>
        <w:tc>
          <w:tcPr>
            <w:tcW w:type="dxa" w:w="2232"/>
            <w:tcMar>
              <w:top w:w="88" w:type="dxa"/>
              <w:start w:w="90" w:type="dxa"/>
              <w:bottom w:w="88" w:type="dxa"/>
              <w:end w:w="90" w:type="dxa"/>
            </w:tcMar>
            <w:vAlign w:val="center"/>
          </w:tcPr>
          <w:p>
            <w:pPr>
              <w:spacing w:after="0" w:line="247" w:lineRule="auto"/>
            </w:pPr>
            <w:r>
              <w:rPr>
                <w:rFonts w:ascii="Arial" w:hAnsi="Arial"/>
                <w:color w:val="212529"/>
                <w:sz w:val="17"/>
              </w:rPr>
              <w:t>AML/FCPA/consumer protection</w:t>
            </w:r>
          </w:p>
        </w:tc>
        <w:tc>
          <w:tcPr>
            <w:tcW w:type="dxa" w:w="4392"/>
            <w:tcMar>
              <w:top w:w="88" w:type="dxa"/>
              <w:start w:w="90" w:type="dxa"/>
              <w:bottom w:w="88" w:type="dxa"/>
              <w:end w:w="90" w:type="dxa"/>
            </w:tcMar>
            <w:vAlign w:val="center"/>
          </w:tcPr>
          <w:p>
            <w:pPr>
              <w:spacing w:after="0" w:line="247" w:lineRule="auto"/>
            </w:pPr>
            <w:r>
              <w:rPr>
                <w:rFonts w:ascii="Arial" w:hAnsi="Arial"/>
                <w:color w:val="212529"/>
                <w:sz w:val="17"/>
              </w:rPr>
              <w:t>Applies.</w:t>
            </w:r>
          </w:p>
        </w:tc>
        <w:tc>
          <w:tcPr>
            <w:tcW w:type="dxa" w:w="3240"/>
            <w:tcMar>
              <w:top w:w="88" w:type="dxa"/>
              <w:start w:w="90" w:type="dxa"/>
              <w:bottom w:w="88" w:type="dxa"/>
              <w:end w:w="90" w:type="dxa"/>
            </w:tcMar>
            <w:vAlign w:val="center"/>
          </w:tcPr>
          <w:p>
            <w:pPr>
              <w:spacing w:after="0" w:line="247" w:lineRule="auto"/>
            </w:pPr>
            <w:r>
              <w:rPr>
                <w:rFonts w:ascii="Arial" w:hAnsi="Arial"/>
                <w:color w:val="212529"/>
                <w:sz w:val="17"/>
              </w:rPr>
              <w:t>Extend existing controls; add wallet/blockchain monitoring and crypto disclosures.</w:t>
            </w:r>
          </w:p>
        </w:tc>
      </w:tr>
    </w:tbl>
    <w:p>
      <w:pPr>
        <w:spacing w:after="20"/>
      </w:pPr>
    </w:p>
    <w:tbl>
      <w:tblPr>
        <w:tblW w:type="auto" w:w="0"/>
        <w:jc w:val="left"/>
        <w:tblLayout w:type="fixed"/>
        <w:tblLook w:firstColumn="1" w:firstRow="1" w:lastColumn="0" w:lastRow="0" w:noHBand="0" w:noVBand="1" w:val="04A0"/>
      </w:tblPr>
      <w:tblGrid>
        <w:gridCol w:w="9994"/>
      </w:tblGrid>
      <w:tr>
        <w:tc>
          <w:tcPr>
            <w:tcW w:type="dxa" w:w="9864"/>
            <w:shd w:fill="FFF5E6"/>
            <w:tcMar>
              <w:top w:w="120" w:type="dxa"/>
              <w:start w:w="150" w:type="dxa"/>
              <w:bottom w:w="120" w:type="dxa"/>
              <w:end w:w="150" w:type="dxa"/>
            </w:tcMar>
          </w:tcPr>
          <w:p>
            <w:r>
              <w:rPr>
                <w:rFonts w:ascii="Arial" w:hAnsi="Arial"/>
                <w:b/>
                <w:color w:val="9D6716"/>
                <w:sz w:val="20"/>
              </w:rPr>
              <w:t xml:space="preserve">Bottom line.  </w:t>
            </w:r>
            <w:r>
              <w:rPr>
                <w:rFonts w:ascii="Arial" w:hAnsi="Arial"/>
                <w:color w:val="212529"/>
                <w:sz w:val="19"/>
              </w:rPr>
              <w:t>The no-additional-BSP-license argument is strongest when the architecture is operationally faithful to its legal characterization. The main unresolved licensing question is SEC CASP / offering treatment. The recommended policy is to seek narrow SEC relief rather than distort the product into a licensed-exchange model.</w:t>
            </w:r>
          </w:p>
        </w:tc>
      </w:tr>
    </w:tbl>
    <w:p>
      <w:pPr>
        <w:spacing w:after="0"/>
      </w:pPr>
    </w:p>
    <w:p>
      <w:pPr>
        <w:pStyle w:val="Heading1"/>
      </w:pPr>
      <w:r>
        <w:t>Sources and authorities</w:t>
      </w:r>
    </w:p>
    <w:p>
      <w:pPr>
        <w:spacing w:after="60"/>
      </w:pPr>
      <w:r>
        <w:rPr>
          <w:b/>
          <w:sz w:val="18"/>
        </w:rPr>
        <w:t>BSP-1  BSP Circular No. 1206, s. 2024 - Consolidated Rules for Money Service Businesses / M-Regulations</w:t>
      </w:r>
      <w:r>
        <w:rPr>
          <w:sz w:val="18"/>
        </w:rPr>
        <w:t xml:space="preserve"> - VASP scope, MSB framework, issuer-offer and own-account exclusions.</w:t>
      </w:r>
      <w:r>
        <w:t xml:space="preserve">  </w:t>
      </w:r>
      <w:hyperlink r:id="rId10">
        <w:r>
          <w:rPr>
            <w:color w:val="31577D"/>
            <w:u w:val="single"/>
          </w:rPr>
          <w:t>Source</w:t>
        </w:r>
      </w:hyperlink>
    </w:p>
    <w:p>
      <w:pPr>
        <w:spacing w:after="60"/>
      </w:pPr>
      <w:r>
        <w:rPr>
          <w:b/>
          <w:sz w:val="18"/>
        </w:rPr>
        <w:t>BSP-2  BSP Memorandum No. M-2026-003 - Dealings with VASPs / offshore counterparties</w:t>
      </w:r>
      <w:r>
        <w:rPr>
          <w:sz w:val="18"/>
        </w:rPr>
        <w:t xml:space="preserve"> - BSFI counterparty diligence and prohibition on direct PH retail access to offshore VASPs unless locally registered.</w:t>
      </w:r>
      <w:r>
        <w:t xml:space="preserve">  </w:t>
      </w:r>
      <w:hyperlink r:id="rId11">
        <w:r>
          <w:rPr>
            <w:color w:val="31577D"/>
            <w:u w:val="single"/>
          </w:rPr>
          <w:t>Source</w:t>
        </w:r>
      </w:hyperlink>
    </w:p>
    <w:p>
      <w:pPr>
        <w:spacing w:after="60"/>
      </w:pPr>
      <w:r>
        <w:rPr>
          <w:b/>
          <w:sz w:val="18"/>
        </w:rPr>
        <w:t>SEC-1  SEC Memorandum Circular No. 4, s. 2025 - SEC Rules on Crypto-Asset Service Providers</w:t>
      </w:r>
      <w:r>
        <w:rPr>
          <w:sz w:val="18"/>
        </w:rPr>
        <w:t xml:space="preserve"> - Definitions of CASP services, offeror, intermediation, public-offering disclosure and exemptions. Published 4 June 2025; filed with UP Law Center 2 June 2025.</w:t>
      </w:r>
    </w:p>
    <w:p>
      <w:pPr>
        <w:spacing w:after="60"/>
      </w:pPr>
      <w:r>
        <w:rPr>
          <w:b/>
          <w:sz w:val="18"/>
        </w:rPr>
        <w:t>SEC-2  SEC Memorandum Circular No. 5, s. 2025 - CASP Guidelines</w:t>
      </w:r>
      <w:r>
        <w:rPr>
          <w:sz w:val="18"/>
        </w:rPr>
        <w:t xml:space="preserve"> - CASP registration framework and reported authority to grant registration exemption in the public interest / investor protection.</w:t>
      </w:r>
    </w:p>
    <w:p>
      <w:pPr>
        <w:spacing w:after="60"/>
      </w:pPr>
      <w:r>
        <w:rPr>
          <w:b/>
          <w:sz w:val="18"/>
        </w:rPr>
        <w:t>SEC-3  SEC Memorandum Circular No. 9, s. 2024 - SEC StratBox</w:t>
      </w:r>
      <w:r>
        <w:rPr>
          <w:sz w:val="18"/>
        </w:rPr>
        <w:t xml:space="preserve"> - Strategic sandbox and potential regulatory relief.</w:t>
      </w:r>
      <w:r>
        <w:t xml:space="preserve">  </w:t>
      </w:r>
      <w:hyperlink r:id="rId12">
        <w:r>
          <w:rPr>
            <w:color w:val="31577D"/>
            <w:u w:val="single"/>
          </w:rPr>
          <w:t>Source</w:t>
        </w:r>
      </w:hyperlink>
    </w:p>
    <w:p>
      <w:pPr>
        <w:spacing w:after="60"/>
      </w:pPr>
      <w:r>
        <w:rPr>
          <w:b/>
          <w:sz w:val="18"/>
        </w:rPr>
        <w:t>CASE-1  Power Homes Unlimited Corp. v. SEC, G.R. No. 164182</w:t>
      </w:r>
      <w:r>
        <w:rPr>
          <w:sz w:val="18"/>
        </w:rPr>
        <w:t xml:space="preserve"> - Philippine investment-contract / Howey test.</w:t>
      </w:r>
      <w:r>
        <w:t xml:space="preserve">  </w:t>
      </w:r>
      <w:hyperlink r:id="rId13">
        <w:r>
          <w:rPr>
            <w:color w:val="31577D"/>
            <w:u w:val="single"/>
          </w:rPr>
          <w:t>Source</w:t>
        </w:r>
      </w:hyperlink>
    </w:p>
    <w:p>
      <w:pPr>
        <w:spacing w:after="60"/>
      </w:pPr>
      <w:r>
        <w:rPr>
          <w:b/>
          <w:sz w:val="18"/>
        </w:rPr>
        <w:t>CASE-2  SEC v. Prosperity.Com, Inc., G.R. No. 164197</w:t>
      </w:r>
      <w:r>
        <w:rPr>
          <w:sz w:val="18"/>
        </w:rPr>
        <w:t xml:space="preserve"> - Application of investment-contract test.</w:t>
      </w:r>
      <w:r>
        <w:t xml:space="preserve">  </w:t>
      </w:r>
      <w:hyperlink r:id="rId14">
        <w:r>
          <w:rPr>
            <w:color w:val="31577D"/>
            <w:u w:val="single"/>
          </w:rPr>
          <w:t>Source</w:t>
        </w:r>
      </w:hyperlink>
    </w:p>
    <w:p>
      <w:pPr>
        <w:spacing w:after="60"/>
      </w:pPr>
      <w:r>
        <w:rPr>
          <w:b/>
          <w:sz w:val="18"/>
        </w:rPr>
        <w:t>BRIDGE-1  Bridge - Prefunded Accounts</w:t>
      </w:r>
      <w:r>
        <w:rPr>
          <w:sz w:val="18"/>
        </w:rPr>
        <w:t xml:space="preserve"> - Single developer-funded account can support multiple customers using on_behalf_of.</w:t>
      </w:r>
      <w:r>
        <w:t xml:space="preserve">  </w:t>
      </w:r>
      <w:hyperlink r:id="rId15">
        <w:r>
          <w:rPr>
            <w:color w:val="31577D"/>
            <w:u w:val="single"/>
          </w:rPr>
          <w:t>Source</w:t>
        </w:r>
      </w:hyperlink>
    </w:p>
    <w:p>
      <w:pPr>
        <w:spacing w:after="60"/>
      </w:pPr>
      <w:r>
        <w:rPr>
          <w:b/>
          <w:sz w:val="18"/>
        </w:rPr>
        <w:t>BRIDGE-2  Bridge - Transfer API / Create a One-Time Payment</w:t>
      </w:r>
      <w:r>
        <w:rPr>
          <w:sz w:val="18"/>
        </w:rPr>
        <w:t xml:space="preserve"> - Fiat/crypto and crypto/fiat transfers; customer wallet sources; on_behalf_of.</w:t>
      </w:r>
      <w:r>
        <w:t xml:space="preserve">  </w:t>
      </w:r>
      <w:hyperlink r:id="rId16">
        <w:r>
          <w:rPr>
            <w:color w:val="31577D"/>
            <w:u w:val="single"/>
          </w:rPr>
          <w:t>Source</w:t>
        </w:r>
      </w:hyperlink>
    </w:p>
    <w:p>
      <w:pPr>
        <w:spacing w:after="60"/>
      </w:pPr>
      <w:r>
        <w:rPr>
          <w:b/>
          <w:sz w:val="18"/>
        </w:rPr>
        <w:t>BRIDGE-3  Bridge - Open Issuance</w:t>
      </w:r>
      <w:r>
        <w:rPr>
          <w:sz w:val="18"/>
        </w:rPr>
        <w:t xml:space="preserve"> - Issuance infrastructure; marketing/distribution rewards described as newly minted tokens for Bridge-issued stablecoins.</w:t>
      </w:r>
      <w:r>
        <w:t xml:space="preserve">  </w:t>
      </w:r>
      <w:hyperlink r:id="rId17">
        <w:r>
          <w:rPr>
            <w:color w:val="31577D"/>
            <w:u w:val="single"/>
          </w:rPr>
          <w:t>Source</w:t>
        </w:r>
      </w:hyperlink>
    </w:p>
    <w:p>
      <w:pPr>
        <w:spacing w:after="60"/>
      </w:pPr>
      <w:r>
        <w:rPr>
          <w:b/>
          <w:sz w:val="18"/>
        </w:rPr>
        <w:t>PRIVY-1  Privy - Self-custodial user wallets</w:t>
      </w:r>
      <w:r>
        <w:rPr>
          <w:sz w:val="18"/>
        </w:rPr>
        <w:t xml:space="preserve"> - User-owner model and permission controls.</w:t>
      </w:r>
      <w:r>
        <w:t xml:space="preserve">  </w:t>
      </w:r>
      <w:hyperlink r:id="rId18">
        <w:r>
          <w:rPr>
            <w:color w:val="31577D"/>
            <w:u w:val="single"/>
          </w:rPr>
          <w:t>Source</w:t>
        </w:r>
      </w:hyperlink>
    </w:p>
    <w:p>
      <w:pPr>
        <w:spacing w:after="60"/>
      </w:pPr>
      <w:r>
        <w:rPr>
          <w:b/>
          <w:sz w:val="18"/>
        </w:rPr>
        <w:t>PRIVY-2  Privy - Export a wallet</w:t>
      </w:r>
      <w:r>
        <w:rPr>
          <w:sz w:val="18"/>
        </w:rPr>
        <w:t xml:space="preserve"> - User ability to export wallet keys / maintain self-sovereign access.</w:t>
      </w:r>
      <w:r>
        <w:t xml:space="preserve">  </w:t>
      </w:r>
      <w:hyperlink r:id="rId19">
        <w:r>
          <w:rPr>
            <w:color w:val="31577D"/>
            <w:u w:val="single"/>
          </w:rPr>
          <w:t>Source</w:t>
        </w:r>
      </w:hyperlink>
    </w:p>
    <w:p>
      <w:pPr>
        <w:spacing w:after="60"/>
      </w:pPr>
      <w:r>
        <w:rPr>
          <w:b/>
          <w:sz w:val="18"/>
        </w:rPr>
        <w:t>OUSD-1  Open Standard - Open USD (OUSD)</w:t>
      </w:r>
      <w:r>
        <w:rPr>
          <w:sz w:val="18"/>
        </w:rPr>
        <w:t xml:space="preserve"> - Open-loop OUSD positioning and partner economics.</w:t>
      </w:r>
      <w:r>
        <w:t xml:space="preserve">  </w:t>
      </w:r>
      <w:hyperlink r:id="rId20">
        <w:r>
          <w:rPr>
            <w:color w:val="31577D"/>
            <w:u w:val="single"/>
          </w:rPr>
          <w:t>Source</w:t>
        </w:r>
      </w:hyperlink>
    </w:p>
    <w:p>
      <w:pPr>
        <w:spacing w:after="60"/>
      </w:pPr>
      <w:r>
        <w:rPr>
          <w:b/>
          <w:sz w:val="18"/>
        </w:rPr>
        <w:t>INTERNAL-1  Zed Dollar Account (OUSD) PRD - Draft v4</w:t>
      </w:r>
      <w:r>
        <w:rPr>
          <w:sz w:val="18"/>
        </w:rPr>
        <w:t xml:space="preserve"> - Internal product baseline supplied for this analysis.</w:t>
      </w:r>
    </w:p>
    <w:p>
      <w:pPr>
        <w:spacing w:after="60"/>
      </w:pPr>
      <w:r>
        <w:rPr>
          <w:b/>
          <w:sz w:val="18"/>
        </w:rPr>
        <w:t>INTERNAL-2  Zed &lt;&gt; Bridge email thread through 16 Aug 2026</w:t>
      </w:r>
      <w:r>
        <w:rPr>
          <w:sz w:val="18"/>
        </w:rPr>
        <w:t xml:space="preserve"> - Internal commercial/technical context supplied for this analysis.</w:t>
      </w:r>
    </w:p>
    <w:p>
      <w:pPr>
        <w:spacing w:after="60"/>
      </w:pPr>
      <w:r>
        <w:rPr>
          <w:b/>
          <w:sz w:val="18"/>
        </w:rPr>
        <w:t>INTERNAL-3  Open Standard partner-rewards documentation screenshots supplied 28 Aug 2026</w:t>
      </w:r>
      <w:r>
        <w:rPr>
          <w:sz w:val="18"/>
        </w:rPr>
        <w:t xml:space="preserve"> - Registered-wallet attribution and Network Partner Marketing Fee mechanics; payout asset assumed OUSD pending confirmation.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606E"/>
        <w:sz w:val="16"/>
      </w:rPr>
      <w:t>Zed Financial | CONFIDENTIAL - WORKING DRAFT | 28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F344E"/>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31577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5560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F34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before="0"/>
    </w:pPr>
    <w:rPr>
      <w:rFonts w:asciiTheme="majorHAnsi" w:eastAsiaTheme="majorEastAsia" w:hAnsiTheme="majorHAnsi" w:cstheme="majorBidi" w:ascii="Arial" w:hAnsi="Arial"/>
      <w:i/>
      <w:iCs/>
      <w:color w:val="5560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Arial" w:hAnsi="Arial"/>
      <w:color w:val="5560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sp.gov.ph/Regulations/Issuances/2024/1206.pdf" TargetMode="External"/><Relationship Id="rId11" Type="http://schemas.openxmlformats.org/officeDocument/2006/relationships/hyperlink" Target="https://www.bsp.gov.ph/Regulations/Issuances/2026/M-2026-003.pdf" TargetMode="External"/><Relationship Id="rId12" Type="http://schemas.openxmlformats.org/officeDocument/2006/relationships/hyperlink" Target="https://www.sec.gov.ph/wp-content/uploads/2024/05/2024MC_SEC-MC-No.-9-S.-of-2024-SEC-Stratbox-Strategic-Sandbox.pdf" TargetMode="External"/><Relationship Id="rId13" Type="http://schemas.openxmlformats.org/officeDocument/2006/relationships/hyperlink" Target="https://elibrary.judiciary.gov.ph/thebookshelf/showdocs/1/44720" TargetMode="External"/><Relationship Id="rId14" Type="http://schemas.openxmlformats.org/officeDocument/2006/relationships/hyperlink" Target="https://elibrary.judiciary.gov.ph/thebookshelf/showdocs/1/27428" TargetMode="External"/><Relationship Id="rId15" Type="http://schemas.openxmlformats.org/officeDocument/2006/relationships/hyperlink" Target="https://apidocs.bridge.xyz/platform/orchestration/prefunded_accounts/prefunded_accounts" TargetMode="External"/><Relationship Id="rId16" Type="http://schemas.openxmlformats.org/officeDocument/2006/relationships/hyperlink" Target="https://apidocs.bridge.xyz/get-started/introduction/quick-start/create-a-one-time-payment" TargetMode="External"/><Relationship Id="rId17" Type="http://schemas.openxmlformats.org/officeDocument/2006/relationships/hyperlink" Target="https://apidocs.bridge.xyz/platform/issuance" TargetMode="External"/><Relationship Id="rId18" Type="http://schemas.openxmlformats.org/officeDocument/2006/relationships/hyperlink" Target="https://docs.privy.io/controls/authorization-keys/owners/configuration/user" TargetMode="External"/><Relationship Id="rId19" Type="http://schemas.openxmlformats.org/officeDocument/2006/relationships/hyperlink" Target="https://docs.privy.io/wallets/wallets/export" TargetMode="External"/><Relationship Id="rId20" Type="http://schemas.openxmlformats.org/officeDocument/2006/relationships/hyperlink" Target="https://joinopenstand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