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1F4E78"/>
          <w:sz w:val="20"/>
        </w:rPr>
        <w:t>PILOT AND LEGAL DRAFT</w:t>
      </w:r>
    </w:p>
    <w:p>
      <w:pPr>
        <w:spacing w:after="100"/>
      </w:pPr>
      <w:r>
        <w:rPr>
          <w:rFonts w:ascii="Calibri" w:hAnsi="Calibri"/>
          <w:b/>
          <w:i w:val="0"/>
          <w:color w:val="17365D"/>
          <w:sz w:val="54"/>
        </w:rPr>
        <w:t>SteadFast Pilot and Legal Readiness Pack</w:t>
      </w:r>
    </w:p>
    <w:p>
      <w:pPr>
        <w:spacing w:after="320"/>
      </w:pPr>
      <w:r>
        <w:rPr>
          <w:rFonts w:ascii="Calibri" w:hAnsi="Calibri"/>
          <w:b w:val="0"/>
          <w:i w:val="0"/>
          <w:color w:val="667085"/>
          <w:sz w:val="27"/>
        </w:rPr>
        <w:t>Business and technical draft for Jamaican counsel review</w:t>
      </w:r>
    </w:p>
    <w:p>
      <w:pPr>
        <w:spacing w:after="40"/>
      </w:pPr>
      <w:r>
        <w:rPr>
          <w:rFonts w:ascii="Calibri" w:hAnsi="Calibri"/>
          <w:b/>
          <w:i w:val="0"/>
          <w:color w:val="17365D"/>
          <w:sz w:val="21"/>
        </w:rPr>
        <w:t xml:space="preserve">Document owner: </w:t>
      </w:r>
      <w:r>
        <w:rPr>
          <w:rFonts w:ascii="Calibri" w:hAnsi="Calibri"/>
          <w:b w:val="0"/>
          <w:i w:val="0"/>
          <w:color w:val="1F2937"/>
          <w:sz w:val="21"/>
        </w:rPr>
        <w:t>SteadFast Product and Engineering</w:t>
      </w:r>
    </w:p>
    <w:p>
      <w:pPr>
        <w:spacing w:after="40"/>
      </w:pPr>
      <w:r>
        <w:rPr>
          <w:rFonts w:ascii="Calibri" w:hAnsi="Calibri"/>
          <w:b/>
          <w:i w:val="0"/>
          <w:color w:val="17365D"/>
          <w:sz w:val="21"/>
        </w:rPr>
        <w:t xml:space="preserve">Status: </w:t>
      </w:r>
      <w:r>
        <w:rPr>
          <w:rFonts w:ascii="Calibri" w:hAnsi="Calibri"/>
          <w:b w:val="0"/>
          <w:i w:val="0"/>
          <w:color w:val="1F2937"/>
          <w:sz w:val="21"/>
        </w:rPr>
        <w:t>Not legal advice; counsel approval required before use</w:t>
      </w:r>
    </w:p>
    <w:p>
      <w:pPr>
        <w:spacing w:after="40"/>
      </w:pPr>
      <w:r>
        <w:rPr>
          <w:rFonts w:ascii="Calibri" w:hAnsi="Calibri"/>
          <w:b/>
          <w:i w:val="0"/>
          <w:color w:val="17365D"/>
          <w:sz w:val="21"/>
        </w:rPr>
        <w:t xml:space="preserve">Version: </w:t>
      </w:r>
      <w:r>
        <w:rPr>
          <w:rFonts w:ascii="Calibri" w:hAnsi="Calibri"/>
          <w:b w:val="0"/>
          <w:i w:val="0"/>
          <w:color w:val="1F2937"/>
          <w:sz w:val="21"/>
        </w:rPr>
        <w:t>0.1</w:t>
      </w:r>
    </w:p>
    <w:p>
      <w:pPr>
        <w:spacing w:after="40"/>
      </w:pPr>
      <w:r>
        <w:rPr>
          <w:rFonts w:ascii="Calibri" w:hAnsi="Calibri"/>
          <w:b/>
          <w:i w:val="0"/>
          <w:color w:val="17365D"/>
          <w:sz w:val="21"/>
        </w:rPr>
        <w:t xml:space="preserve">Date: </w:t>
      </w:r>
      <w:r>
        <w:rPr>
          <w:rFonts w:ascii="Calibri" w:hAnsi="Calibri"/>
          <w:b w:val="0"/>
          <w:i w:val="0"/>
          <w:color w:val="1F2937"/>
          <w:sz w:val="21"/>
        </w:rPr>
        <w:t>16 July 2026</w:t>
      </w:r>
    </w:p>
    <w:p/>
    <w:p>
      <w:pPr>
        <w:pStyle w:val="Heading1"/>
      </w:pPr>
      <w:r>
        <w:t>1. Purpose and document set</w:t>
      </w:r>
    </w:p>
    <w:p>
      <w:pPr>
        <w:spacing w:after="120" w:line="300" w:lineRule="auto"/>
      </w:pPr>
      <w:r>
        <w:rPr>
          <w:rFonts w:ascii="Calibri" w:hAnsi="Calibri"/>
          <w:b w:val="0"/>
          <w:i w:val="0"/>
          <w:color w:val="1F2937"/>
          <w:sz w:val="22"/>
        </w:rPr>
        <w:t>This pack gives counsel and SteadFast a consistent starting point for:</w:t>
      </w:r>
    </w:p>
    <w:p>
      <w:pPr>
        <w:pStyle w:val="ListNumber"/>
        <w:ind w:left="540" w:hanging="271"/>
      </w:pPr>
      <w:r>
        <w:rPr>
          <w:rFonts w:ascii="Calibri" w:hAnsi="Calibri"/>
          <w:b w:val="0"/>
          <w:i w:val="0"/>
          <w:color w:val="1F2937"/>
          <w:sz w:val="22"/>
        </w:rPr>
        <w:t>Pilot Participation Agreement.</w:t>
      </w:r>
    </w:p>
    <w:p>
      <w:pPr>
        <w:pStyle w:val="ListNumber"/>
        <w:ind w:left="540" w:hanging="271"/>
      </w:pPr>
      <w:r>
        <w:rPr>
          <w:rFonts w:ascii="Calibri" w:hAnsi="Calibri"/>
          <w:b w:val="0"/>
          <w:i w:val="0"/>
          <w:color w:val="1F2937"/>
          <w:sz w:val="22"/>
        </w:rPr>
        <w:t>Subscription Terms of Service.</w:t>
      </w:r>
    </w:p>
    <w:p>
      <w:pPr>
        <w:pStyle w:val="ListNumber"/>
        <w:ind w:left="540" w:hanging="271"/>
      </w:pPr>
      <w:r>
        <w:rPr>
          <w:rFonts w:ascii="Calibri" w:hAnsi="Calibri"/>
          <w:b w:val="0"/>
          <w:i w:val="0"/>
          <w:color w:val="1F2937"/>
          <w:sz w:val="22"/>
        </w:rPr>
        <w:t>Privacy Notice.</w:t>
      </w:r>
    </w:p>
    <w:p>
      <w:pPr>
        <w:pStyle w:val="ListNumber"/>
        <w:ind w:left="540" w:hanging="271"/>
      </w:pPr>
      <w:r>
        <w:rPr>
          <w:rFonts w:ascii="Calibri" w:hAnsi="Calibri"/>
          <w:b w:val="0"/>
          <w:i w:val="0"/>
          <w:color w:val="1F2937"/>
          <w:sz w:val="22"/>
        </w:rPr>
        <w:t>Acceptable Use Policy.</w:t>
      </w:r>
    </w:p>
    <w:p>
      <w:pPr>
        <w:pStyle w:val="ListNumber"/>
        <w:ind w:left="540" w:hanging="271"/>
      </w:pPr>
      <w:r>
        <w:rPr>
          <w:rFonts w:ascii="Calibri" w:hAnsi="Calibri"/>
          <w:b w:val="0"/>
          <w:i w:val="0"/>
          <w:color w:val="1F2937"/>
          <w:sz w:val="22"/>
        </w:rPr>
        <w:t>Brokerage Responsibilities Schedule.</w:t>
      </w:r>
    </w:p>
    <w:p>
      <w:pPr>
        <w:pStyle w:val="ListNumber"/>
        <w:ind w:left="540" w:hanging="271"/>
      </w:pPr>
      <w:r>
        <w:rPr>
          <w:rFonts w:ascii="Calibri" w:hAnsi="Calibri"/>
          <w:b w:val="0"/>
          <w:i w:val="0"/>
          <w:color w:val="1F2937"/>
          <w:sz w:val="22"/>
        </w:rPr>
        <w:t>Listing Content Authorization and Submission Attestation.</w:t>
      </w:r>
    </w:p>
    <w:p>
      <w:pPr>
        <w:pStyle w:val="ListNumber"/>
        <w:ind w:left="540" w:hanging="271"/>
      </w:pPr>
      <w:r>
        <w:rPr>
          <w:rFonts w:ascii="Calibri" w:hAnsi="Calibri"/>
          <w:b w:val="0"/>
          <w:i w:val="0"/>
          <w:color w:val="1F2937"/>
          <w:sz w:val="22"/>
        </w:rPr>
        <w:t>Data Processing and Security Schedule.</w:t>
      </w:r>
    </w:p>
    <w:p>
      <w:pPr>
        <w:pStyle w:val="ListNumber"/>
        <w:ind w:left="540" w:hanging="271"/>
      </w:pPr>
      <w:r>
        <w:rPr>
          <w:rFonts w:ascii="Calibri" w:hAnsi="Calibri"/>
          <w:b w:val="0"/>
          <w:i w:val="0"/>
          <w:color w:val="1F2937"/>
          <w:sz w:val="22"/>
        </w:rPr>
        <w:t>Pilot launch legal checklist.</w:t>
      </w:r>
    </w:p>
    <w:p>
      <w:pPr>
        <w:spacing w:after="120" w:line="300" w:lineRule="auto"/>
      </w:pPr>
      <w:r>
        <w:rPr>
          <w:rFonts w:ascii="Calibri" w:hAnsi="Calibri"/>
          <w:b w:val="0"/>
          <w:i w:val="0"/>
          <w:color w:val="1F2937"/>
          <w:sz w:val="22"/>
        </w:rPr>
        <w:t>Square-bracketed fields are unresolved business/legal decisions. No bracketed draft should be published.</w:t>
      </w:r>
    </w:p>
    <w:p>
      <w:pPr>
        <w:pStyle w:val="Heading1"/>
      </w:pPr>
      <w:r>
        <w:t>2. Legal and regulatory baseline to confirm</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Area</w:t>
            </w:r>
          </w:p>
        </w:tc>
        <w:tc>
          <w:tcPr>
            <w:tcW w:type="dxa" w:w="3000"/>
            <w:shd w:fill="E8EEF5"/>
          </w:tcPr>
          <w:p>
            <w:pPr>
              <w:spacing w:after="0"/>
            </w:pPr>
            <w:r>
              <w:rPr>
                <w:rFonts w:ascii="Calibri" w:hAnsi="Calibri"/>
                <w:b/>
                <w:i w:val="0"/>
                <w:color w:val="17365D"/>
                <w:sz w:val="18"/>
              </w:rPr>
              <w:t>Current planning implication</w:t>
            </w:r>
          </w:p>
        </w:tc>
        <w:tc>
          <w:tcPr>
            <w:tcW w:type="dxa" w:w="4560"/>
            <w:shd w:fill="E8EEF5"/>
          </w:tcPr>
          <w:p>
            <w:pPr>
              <w:spacing w:after="0"/>
            </w:pPr>
            <w:r>
              <w:rPr>
                <w:rFonts w:ascii="Calibri" w:hAnsi="Calibri"/>
                <w:b/>
                <w:i w:val="0"/>
                <w:color w:val="17365D"/>
                <w:sz w:val="18"/>
              </w:rPr>
              <w:t>Counsel action</w:t>
            </w:r>
          </w:p>
        </w:tc>
      </w:tr>
      <w:tr>
        <w:trPr>
          <w:cantSplit/>
        </w:trPr>
        <w:tc>
          <w:tcPr>
            <w:tcW w:type="dxa" w:w="1800"/>
          </w:tcPr>
          <w:p>
            <w:pPr>
              <w:spacing w:before="0" w:after="0" w:line="252" w:lineRule="auto"/>
            </w:pPr>
            <w:r>
              <w:rPr>
                <w:rFonts w:ascii="Calibri" w:hAnsi="Calibri"/>
                <w:b w:val="0"/>
                <w:i w:val="0"/>
                <w:color w:val="1F2937"/>
                <w:sz w:val="17"/>
              </w:rPr>
              <w:t>Jamaica Data Protection Act, 2020</w:t>
            </w:r>
          </w:p>
        </w:tc>
        <w:tc>
          <w:tcPr>
            <w:tcW w:type="dxa" w:w="3000"/>
          </w:tcPr>
          <w:p>
            <w:pPr>
              <w:spacing w:before="0" w:after="0" w:line="252" w:lineRule="auto"/>
            </w:pPr>
            <w:r>
              <w:rPr>
                <w:rFonts w:ascii="Calibri" w:hAnsi="Calibri"/>
                <w:b w:val="0"/>
                <w:i w:val="0"/>
                <w:color w:val="1F2937"/>
                <w:sz w:val="17"/>
              </w:rPr>
              <w:t>SteadFast will process identity, inquiry, billing and professional data</w:t>
            </w:r>
          </w:p>
        </w:tc>
        <w:tc>
          <w:tcPr>
            <w:tcW w:type="dxa" w:w="4560"/>
          </w:tcPr>
          <w:p>
            <w:pPr>
              <w:spacing w:before="0" w:after="0" w:line="252" w:lineRule="auto"/>
            </w:pPr>
            <w:r>
              <w:rPr>
                <w:rFonts w:ascii="Calibri" w:hAnsi="Calibri"/>
                <w:b w:val="0"/>
                <w:i w:val="0"/>
                <w:color w:val="1F2937"/>
                <w:sz w:val="17"/>
              </w:rPr>
              <w:t>Determine controller/processor roles, registration, DPO, DPIA, rights, breach and transfer duties</w:t>
            </w:r>
          </w:p>
        </w:tc>
      </w:tr>
      <w:tr>
        <w:trPr>
          <w:cantSplit/>
        </w:trPr>
        <w:tc>
          <w:tcPr>
            <w:tcW w:type="dxa" w:w="1800"/>
            <w:shd w:fill="F7F9FB"/>
          </w:tcPr>
          <w:p>
            <w:pPr>
              <w:spacing w:before="0" w:after="0" w:line="252" w:lineRule="auto"/>
            </w:pPr>
            <w:r>
              <w:rPr>
                <w:rFonts w:ascii="Calibri" w:hAnsi="Calibri"/>
                <w:b w:val="0"/>
                <w:i w:val="0"/>
                <w:color w:val="1F2937"/>
                <w:sz w:val="17"/>
              </w:rPr>
              <w:t>OIC registration</w:t>
            </w:r>
          </w:p>
        </w:tc>
        <w:tc>
          <w:tcPr>
            <w:tcW w:type="dxa" w:w="3000"/>
            <w:shd w:fill="F7F9FB"/>
          </w:tcPr>
          <w:p>
            <w:pPr>
              <w:spacing w:before="0" w:after="0" w:line="252" w:lineRule="auto"/>
            </w:pPr>
            <w:r>
              <w:rPr>
                <w:rFonts w:ascii="Calibri" w:hAnsi="Calibri"/>
                <w:b w:val="0"/>
                <w:i w:val="0"/>
                <w:color w:val="1F2937"/>
                <w:sz w:val="17"/>
              </w:rPr>
              <w:t>OIC states data controllers processing personal data must register, subject to current process</w:t>
            </w:r>
          </w:p>
        </w:tc>
        <w:tc>
          <w:tcPr>
            <w:tcW w:type="dxa" w:w="4560"/>
            <w:shd w:fill="F7F9FB"/>
          </w:tcPr>
          <w:p>
            <w:pPr>
              <w:spacing w:before="0" w:after="0" w:line="252" w:lineRule="auto"/>
            </w:pPr>
            <w:r>
              <w:rPr>
                <w:rFonts w:ascii="Calibri" w:hAnsi="Calibri"/>
                <w:b w:val="0"/>
                <w:i w:val="0"/>
                <w:color w:val="1F2937"/>
                <w:sz w:val="17"/>
              </w:rPr>
              <w:t>Confirm SteadFast and brokerage registration obligations before live data</w:t>
            </w:r>
          </w:p>
        </w:tc>
      </w:tr>
      <w:tr>
        <w:trPr>
          <w:cantSplit/>
        </w:trPr>
        <w:tc>
          <w:tcPr>
            <w:tcW w:type="dxa" w:w="1800"/>
          </w:tcPr>
          <w:p>
            <w:pPr>
              <w:spacing w:before="0" w:after="0" w:line="252" w:lineRule="auto"/>
            </w:pPr>
            <w:r>
              <w:rPr>
                <w:rFonts w:ascii="Calibri" w:hAnsi="Calibri"/>
                <w:b w:val="0"/>
                <w:i w:val="0"/>
                <w:color w:val="1F2937"/>
                <w:sz w:val="17"/>
              </w:rPr>
              <w:t>Real Estate (Dealers and Developers) Act/Regulations</w:t>
            </w:r>
          </w:p>
        </w:tc>
        <w:tc>
          <w:tcPr>
            <w:tcW w:type="dxa" w:w="3000"/>
          </w:tcPr>
          <w:p>
            <w:pPr>
              <w:spacing w:before="0" w:after="0" w:line="252" w:lineRule="auto"/>
            </w:pPr>
            <w:r>
              <w:rPr>
                <w:rFonts w:ascii="Calibri" w:hAnsi="Calibri"/>
                <w:b w:val="0"/>
                <w:i w:val="0"/>
                <w:color w:val="1F2937"/>
                <w:sz w:val="17"/>
              </w:rPr>
              <w:t>REB licenses dealers/salesmen and advertising rules include dealer identity/licence information</w:t>
            </w:r>
          </w:p>
        </w:tc>
        <w:tc>
          <w:tcPr>
            <w:tcW w:type="dxa" w:w="4560"/>
          </w:tcPr>
          <w:p>
            <w:pPr>
              <w:spacing w:before="0" w:after="0" w:line="252" w:lineRule="auto"/>
            </w:pPr>
            <w:r>
              <w:rPr>
                <w:rFonts w:ascii="Calibri" w:hAnsi="Calibri"/>
                <w:b w:val="0"/>
                <w:i w:val="0"/>
                <w:color w:val="1F2937"/>
                <w:sz w:val="17"/>
              </w:rPr>
              <w:t>Validate platform fields, licence display and brokerage responsibility clauses</w:t>
            </w:r>
          </w:p>
        </w:tc>
      </w:tr>
      <w:tr>
        <w:trPr>
          <w:cantSplit/>
        </w:trPr>
        <w:tc>
          <w:tcPr>
            <w:tcW w:type="dxa" w:w="1800"/>
            <w:shd w:fill="F7F9FB"/>
          </w:tcPr>
          <w:p>
            <w:pPr>
              <w:spacing w:before="0" w:after="0" w:line="252" w:lineRule="auto"/>
            </w:pPr>
            <w:r>
              <w:rPr>
                <w:rFonts w:ascii="Calibri" w:hAnsi="Calibri"/>
                <w:b w:val="0"/>
                <w:i w:val="0"/>
                <w:color w:val="1F2937"/>
                <w:sz w:val="17"/>
              </w:rPr>
              <w:t>Electronic Transactions Act</w:t>
            </w:r>
          </w:p>
        </w:tc>
        <w:tc>
          <w:tcPr>
            <w:tcW w:type="dxa" w:w="3000"/>
            <w:shd w:fill="F7F9FB"/>
          </w:tcPr>
          <w:p>
            <w:pPr>
              <w:spacing w:before="0" w:after="0" w:line="252" w:lineRule="auto"/>
            </w:pPr>
            <w:r>
              <w:rPr>
                <w:rFonts w:ascii="Calibri" w:hAnsi="Calibri"/>
                <w:b w:val="0"/>
                <w:i w:val="0"/>
                <w:color w:val="1F2937"/>
                <w:sz w:val="17"/>
              </w:rPr>
              <w:t>Supports electronic records, signatures, contracts and payments subject to its terms</w:t>
            </w:r>
          </w:p>
        </w:tc>
        <w:tc>
          <w:tcPr>
            <w:tcW w:type="dxa" w:w="4560"/>
            <w:shd w:fill="F7F9FB"/>
          </w:tcPr>
          <w:p>
            <w:pPr>
              <w:spacing w:before="0" w:after="0" w:line="252" w:lineRule="auto"/>
            </w:pPr>
            <w:r>
              <w:rPr>
                <w:rFonts w:ascii="Calibri" w:hAnsi="Calibri"/>
                <w:b w:val="0"/>
                <w:i w:val="0"/>
                <w:color w:val="1F2937"/>
                <w:sz w:val="17"/>
              </w:rPr>
              <w:t>Approve clickwrap, electronic notices, record retention and signature method</w:t>
            </w:r>
          </w:p>
        </w:tc>
      </w:tr>
      <w:tr>
        <w:trPr>
          <w:cantSplit/>
        </w:trPr>
        <w:tc>
          <w:tcPr>
            <w:tcW w:type="dxa" w:w="1800"/>
          </w:tcPr>
          <w:p>
            <w:pPr>
              <w:spacing w:before="0" w:after="0" w:line="252" w:lineRule="auto"/>
            </w:pPr>
            <w:r>
              <w:rPr>
                <w:rFonts w:ascii="Calibri" w:hAnsi="Calibri"/>
                <w:b w:val="0"/>
                <w:i w:val="0"/>
                <w:color w:val="1F2937"/>
                <w:sz w:val="17"/>
              </w:rPr>
              <w:t>Consumer Protection Act and Fair Competition Act</w:t>
            </w:r>
          </w:p>
        </w:tc>
        <w:tc>
          <w:tcPr>
            <w:tcW w:type="dxa" w:w="3000"/>
          </w:tcPr>
          <w:p>
            <w:pPr>
              <w:spacing w:before="0" w:after="0" w:line="252" w:lineRule="auto"/>
            </w:pPr>
            <w:r>
              <w:rPr>
                <w:rFonts w:ascii="Calibri" w:hAnsi="Calibri"/>
                <w:b w:val="0"/>
                <w:i w:val="0"/>
                <w:color w:val="1F2937"/>
                <w:sz w:val="17"/>
              </w:rPr>
              <w:t>Subscription and advertising claims must be fair and accurate</w:t>
            </w:r>
          </w:p>
        </w:tc>
        <w:tc>
          <w:tcPr>
            <w:tcW w:type="dxa" w:w="4560"/>
          </w:tcPr>
          <w:p>
            <w:pPr>
              <w:spacing w:before="0" w:after="0" w:line="252" w:lineRule="auto"/>
            </w:pPr>
            <w:r>
              <w:rPr>
                <w:rFonts w:ascii="Calibri" w:hAnsi="Calibri"/>
                <w:b w:val="0"/>
                <w:i w:val="0"/>
                <w:color w:val="1F2937"/>
                <w:sz w:val="17"/>
              </w:rPr>
              <w:t>Review pricing, renewal, refunds, claims, complaints and marketing</w:t>
            </w:r>
          </w:p>
        </w:tc>
      </w:tr>
      <w:tr>
        <w:trPr>
          <w:cantSplit/>
        </w:trPr>
        <w:tc>
          <w:tcPr>
            <w:tcW w:type="dxa" w:w="1800"/>
            <w:shd w:fill="F7F9FB"/>
          </w:tcPr>
          <w:p>
            <w:pPr>
              <w:spacing w:before="0" w:after="0" w:line="252" w:lineRule="auto"/>
            </w:pPr>
            <w:r>
              <w:rPr>
                <w:rFonts w:ascii="Calibri" w:hAnsi="Calibri"/>
                <w:b w:val="0"/>
                <w:i w:val="0"/>
                <w:color w:val="1F2937"/>
                <w:sz w:val="17"/>
              </w:rPr>
              <w:t>Tax and invoicing</w:t>
            </w:r>
          </w:p>
        </w:tc>
        <w:tc>
          <w:tcPr>
            <w:tcW w:type="dxa" w:w="3000"/>
            <w:shd w:fill="F7F9FB"/>
          </w:tcPr>
          <w:p>
            <w:pPr>
              <w:spacing w:before="0" w:after="0" w:line="252" w:lineRule="auto"/>
            </w:pPr>
            <w:r>
              <w:rPr>
                <w:rFonts w:ascii="Calibri" w:hAnsi="Calibri"/>
                <w:b w:val="0"/>
                <w:i w:val="0"/>
                <w:color w:val="1F2937"/>
                <w:sz w:val="17"/>
              </w:rPr>
              <w:t>Subscriptions initially contemplated in JMD</w:t>
            </w:r>
          </w:p>
        </w:tc>
        <w:tc>
          <w:tcPr>
            <w:tcW w:type="dxa" w:w="4560"/>
            <w:shd w:fill="F7F9FB"/>
          </w:tcPr>
          <w:p>
            <w:pPr>
              <w:spacing w:before="0" w:after="0" w:line="252" w:lineRule="auto"/>
            </w:pPr>
            <w:r>
              <w:rPr>
                <w:rFonts w:ascii="Calibri" w:hAnsi="Calibri"/>
                <w:b w:val="0"/>
                <w:i w:val="0"/>
                <w:color w:val="1F2937"/>
                <w:sz w:val="17"/>
              </w:rPr>
              <w:t>Confirm GCT, invoice content, withholding and cross-border payment issues</w:t>
            </w:r>
          </w:p>
        </w:tc>
      </w:tr>
      <w:tr>
        <w:trPr>
          <w:cantSplit/>
        </w:trPr>
        <w:tc>
          <w:tcPr>
            <w:tcW w:type="dxa" w:w="1800"/>
          </w:tcPr>
          <w:p>
            <w:pPr>
              <w:spacing w:before="0" w:after="0" w:line="252" w:lineRule="auto"/>
            </w:pPr>
            <w:r>
              <w:rPr>
                <w:rFonts w:ascii="Calibri" w:hAnsi="Calibri"/>
                <w:b w:val="0"/>
                <w:i w:val="0"/>
                <w:color w:val="1F2937"/>
                <w:sz w:val="17"/>
              </w:rPr>
              <w:t>International expansion</w:t>
            </w:r>
          </w:p>
        </w:tc>
        <w:tc>
          <w:tcPr>
            <w:tcW w:type="dxa" w:w="3000"/>
          </w:tcPr>
          <w:p>
            <w:pPr>
              <w:spacing w:before="0" w:after="0" w:line="252" w:lineRule="auto"/>
            </w:pPr>
            <w:r>
              <w:rPr>
                <w:rFonts w:ascii="Calibri" w:hAnsi="Calibri"/>
                <w:b w:val="0"/>
                <w:i w:val="0"/>
                <w:color w:val="1F2937"/>
                <w:sz w:val="17"/>
              </w:rPr>
              <w:t>Belize and other countries may change privacy, licensing, tax and consumer rules</w:t>
            </w:r>
          </w:p>
        </w:tc>
        <w:tc>
          <w:tcPr>
            <w:tcW w:type="dxa" w:w="4560"/>
          </w:tcPr>
          <w:p>
            <w:pPr>
              <w:spacing w:before="0" w:after="0" w:line="252" w:lineRule="auto"/>
            </w:pPr>
            <w:r>
              <w:rPr>
                <w:rFonts w:ascii="Calibri" w:hAnsi="Calibri"/>
                <w:b w:val="0"/>
                <w:i w:val="0"/>
                <w:color w:val="1F2937"/>
                <w:sz w:val="17"/>
              </w:rPr>
              <w:t>Require country launch review; Jamaica terms do not automatically apply</w:t>
            </w:r>
          </w:p>
        </w:tc>
      </w:tr>
    </w:tbl>
    <w:p>
      <w:pPr>
        <w:spacing w:after="0"/>
      </w:pPr>
    </w:p>
    <w:p>
      <w:pPr>
        <w:spacing w:after="120" w:line="300" w:lineRule="auto"/>
      </w:pPr>
      <w:r>
        <w:rPr>
          <w:rFonts w:ascii="Calibri" w:hAnsi="Calibri"/>
          <w:b w:val="0"/>
          <w:i w:val="0"/>
          <w:color w:val="1F2937"/>
          <w:sz w:val="22"/>
        </w:rPr>
        <w:t>The platform must not describe itself as an MLS, RAJ-authorized service, Realtor.com/Move partner or international syndication provider until written authorization and operational certification exist.</w:t>
      </w:r>
    </w:p>
    <w:p>
      <w:pPr>
        <w:pStyle w:val="Heading1"/>
      </w:pPr>
      <w:r>
        <w:t>3. Party and policy information required</w:t>
      </w:r>
    </w:p>
    <w:p>
      <w:pPr>
        <w:spacing w:after="120" w:line="300" w:lineRule="auto"/>
      </w:pPr>
      <w:r>
        <w:rPr>
          <w:rFonts w:ascii="Calibri" w:hAnsi="Calibri"/>
          <w:b w:val="0"/>
          <w:i w:val="0"/>
          <w:color w:val="1F2937"/>
          <w:sz w:val="22"/>
        </w:rPr>
        <w:t>Counsel cannot finalize the documents until SteadFast supplies:</w:t>
      </w:r>
    </w:p>
    <w:p>
      <w:pPr>
        <w:pStyle w:val="ListBullet"/>
        <w:ind w:left="540" w:hanging="271"/>
      </w:pPr>
      <w:r>
        <w:rPr>
          <w:rFonts w:ascii="Calibri" w:hAnsi="Calibri"/>
          <w:b w:val="0"/>
          <w:i w:val="0"/>
          <w:color w:val="1F2937"/>
          <w:sz w:val="22"/>
        </w:rPr>
        <w:t>Legal entity name, registration number, registered office and trading names.</w:t>
      </w:r>
    </w:p>
    <w:p>
      <w:pPr>
        <w:pStyle w:val="ListBullet"/>
        <w:ind w:left="540" w:hanging="271"/>
      </w:pPr>
      <w:r>
        <w:rPr>
          <w:rFonts w:ascii="Calibri" w:hAnsi="Calibri"/>
          <w:b w:val="0"/>
          <w:i w:val="0"/>
          <w:color w:val="1F2937"/>
          <w:sz w:val="22"/>
        </w:rPr>
        <w:t>Privacy contact, security contact, customer-support contact and service hours.</w:t>
      </w:r>
    </w:p>
    <w:p>
      <w:pPr>
        <w:pStyle w:val="ListBullet"/>
        <w:ind w:left="540" w:hanging="271"/>
      </w:pPr>
      <w:r>
        <w:rPr>
          <w:rFonts w:ascii="Calibri" w:hAnsi="Calibri"/>
          <w:b w:val="0"/>
          <w:i w:val="0"/>
          <w:color w:val="1F2937"/>
          <w:sz w:val="22"/>
        </w:rPr>
        <w:t>Governing law, courts/arbitration choice and notice addresses.</w:t>
      </w:r>
    </w:p>
    <w:p>
      <w:pPr>
        <w:pStyle w:val="ListBullet"/>
        <w:ind w:left="540" w:hanging="271"/>
      </w:pPr>
      <w:r>
        <w:rPr>
          <w:rFonts w:ascii="Calibri" w:hAnsi="Calibri"/>
          <w:b w:val="0"/>
          <w:i w:val="0"/>
          <w:color w:val="1F2937"/>
          <w:sz w:val="22"/>
        </w:rPr>
        <w:t>Final plans, billing period, JMD/USD treatment, taxes, trials, renewal and refund policy.</w:t>
      </w:r>
    </w:p>
    <w:p>
      <w:pPr>
        <w:pStyle w:val="ListBullet"/>
        <w:ind w:left="540" w:hanging="271"/>
      </w:pPr>
      <w:r>
        <w:rPr>
          <w:rFonts w:ascii="Calibri" w:hAnsi="Calibri"/>
          <w:b w:val="0"/>
          <w:i w:val="0"/>
          <w:color w:val="1F2937"/>
          <w:sz w:val="22"/>
        </w:rPr>
        <w:t>Payment provider, email provider, maps provider, monitoring provider and subprocessors.</w:t>
      </w:r>
    </w:p>
    <w:p>
      <w:pPr>
        <w:pStyle w:val="ListBullet"/>
        <w:ind w:left="540" w:hanging="271"/>
      </w:pPr>
      <w:r>
        <w:rPr>
          <w:rFonts w:ascii="Calibri" w:hAnsi="Calibri"/>
          <w:b w:val="0"/>
          <w:i w:val="0"/>
          <w:color w:val="1F2937"/>
          <w:sz w:val="22"/>
        </w:rPr>
        <w:t>Production/staging hosting regions and international data-transfer safeguards.</w:t>
      </w:r>
    </w:p>
    <w:p>
      <w:pPr>
        <w:pStyle w:val="ListBullet"/>
        <w:ind w:left="540" w:hanging="271"/>
      </w:pPr>
      <w:r>
        <w:rPr>
          <w:rFonts w:ascii="Calibri" w:hAnsi="Calibri"/>
          <w:b w:val="0"/>
          <w:i w:val="0"/>
          <w:color w:val="1F2937"/>
          <w:sz w:val="22"/>
        </w:rPr>
        <w:t>Retention periods for accounts, inquiries, listings, media, audit, billing and backups.</w:t>
      </w:r>
    </w:p>
    <w:p>
      <w:pPr>
        <w:pStyle w:val="ListBullet"/>
        <w:ind w:left="540" w:hanging="271"/>
      </w:pPr>
      <w:r>
        <w:rPr>
          <w:rFonts w:ascii="Calibri" w:hAnsi="Calibri"/>
          <w:b w:val="0"/>
          <w:i w:val="0"/>
          <w:color w:val="1F2937"/>
          <w:sz w:val="22"/>
        </w:rPr>
        <w:t>Minimum age and whether consumers under 18 may register.</w:t>
      </w:r>
    </w:p>
    <w:p>
      <w:pPr>
        <w:pStyle w:val="ListBullet"/>
        <w:ind w:left="540" w:hanging="271"/>
      </w:pPr>
      <w:r>
        <w:rPr>
          <w:rFonts w:ascii="Calibri" w:hAnsi="Calibri"/>
          <w:b w:val="0"/>
          <w:i w:val="0"/>
          <w:color w:val="1F2937"/>
          <w:sz w:val="22"/>
        </w:rPr>
        <w:t>Insurance requirements and liability cap position.</w:t>
      </w:r>
    </w:p>
    <w:p>
      <w:pPr>
        <w:pStyle w:val="ListBullet"/>
        <w:ind w:left="540" w:hanging="271"/>
      </w:pPr>
      <w:r>
        <w:rPr>
          <w:rFonts w:ascii="Calibri" w:hAnsi="Calibri"/>
          <w:b w:val="0"/>
          <w:i w:val="0"/>
          <w:color w:val="1F2937"/>
          <w:sz w:val="22"/>
        </w:rPr>
        <w:t>Pilot start/end, participating brokerages, seats, service limits and success criteria.</w:t>
      </w:r>
    </w:p>
    <w:p>
      <w:pPr>
        <w:pStyle w:val="ListBullet"/>
        <w:ind w:left="540" w:hanging="271"/>
      </w:pPr>
      <w:r>
        <w:rPr>
          <w:rFonts w:ascii="Calibri" w:hAnsi="Calibri"/>
          <w:b w:val="0"/>
          <w:i w:val="0"/>
          <w:color w:val="1F2937"/>
          <w:sz w:val="22"/>
        </w:rPr>
        <w:t>Service-level commitments, maintenance notice and support targets.</w:t>
      </w:r>
    </w:p>
    <w:p>
      <w:pPr>
        <w:pStyle w:val="Heading1"/>
      </w:pPr>
      <w:r>
        <w:t>4. Draft Pilot Participation Agreement</w:t>
      </w:r>
    </w:p>
    <w:p>
      <w:pPr>
        <w:pStyle w:val="Heading2"/>
      </w:pPr>
      <w:r>
        <w:t>4.1 Parties and purpose</w:t>
      </w:r>
    </w:p>
    <w:p>
      <w:pPr>
        <w:spacing w:after="120" w:line="300" w:lineRule="auto"/>
      </w:pPr>
      <w:r>
        <w:rPr>
          <w:rFonts w:ascii="Calibri" w:hAnsi="Calibri"/>
          <w:b w:val="0"/>
          <w:i w:val="0"/>
          <w:color w:val="1F2937"/>
          <w:sz w:val="22"/>
        </w:rPr>
        <w:t xml:space="preserve">This Pilot Participation Agreement is between </w:t>
      </w:r>
      <w:r>
        <w:rPr>
          <w:rFonts w:ascii="Calibri" w:hAnsi="Calibri"/>
          <w:b/>
          <w:i w:val="0"/>
          <w:color w:val="1F2937"/>
          <w:sz w:val="22"/>
        </w:rPr>
        <w:t>[SteadFast legal entity]</w:t>
      </w:r>
      <w:r>
        <w:rPr>
          <w:rFonts w:ascii="Calibri" w:hAnsi="Calibri"/>
          <w:b w:val="0"/>
          <w:i w:val="0"/>
          <w:color w:val="1F2937"/>
          <w:sz w:val="22"/>
        </w:rPr>
        <w:t xml:space="preserve">, of </w:t>
      </w:r>
      <w:r>
        <w:rPr>
          <w:rFonts w:ascii="Calibri" w:hAnsi="Calibri"/>
          <w:b/>
          <w:i w:val="0"/>
          <w:color w:val="1F2937"/>
          <w:sz w:val="22"/>
        </w:rPr>
        <w:t>[address]</w:t>
      </w:r>
      <w:r>
        <w:rPr>
          <w:rFonts w:ascii="Calibri" w:hAnsi="Calibri"/>
          <w:b w:val="0"/>
          <w:i w:val="0"/>
          <w:color w:val="1F2937"/>
          <w:sz w:val="22"/>
        </w:rPr>
        <w:t xml:space="preserve"> (“SteadFast”), and </w:t>
      </w:r>
      <w:r>
        <w:rPr>
          <w:rFonts w:ascii="Calibri" w:hAnsi="Calibri"/>
          <w:b/>
          <w:i w:val="0"/>
          <w:color w:val="1F2937"/>
          <w:sz w:val="22"/>
        </w:rPr>
        <w:t>[brokerage legal name]</w:t>
      </w:r>
      <w:r>
        <w:rPr>
          <w:rFonts w:ascii="Calibri" w:hAnsi="Calibri"/>
          <w:b w:val="0"/>
          <w:i w:val="0"/>
          <w:color w:val="1F2937"/>
          <w:sz w:val="22"/>
        </w:rPr>
        <w:t xml:space="preserve">, of </w:t>
      </w:r>
      <w:r>
        <w:rPr>
          <w:rFonts w:ascii="Calibri" w:hAnsi="Calibri"/>
          <w:b/>
          <w:i w:val="0"/>
          <w:color w:val="1F2937"/>
          <w:sz w:val="22"/>
        </w:rPr>
        <w:t>[address]</w:t>
      </w:r>
      <w:r>
        <w:rPr>
          <w:rFonts w:ascii="Calibri" w:hAnsi="Calibri"/>
          <w:b w:val="0"/>
          <w:i w:val="0"/>
          <w:color w:val="1F2937"/>
          <w:sz w:val="22"/>
        </w:rPr>
        <w:t xml:space="preserve"> (“Brokerage”), effective </w:t>
      </w:r>
      <w:r>
        <w:rPr>
          <w:rFonts w:ascii="Calibri" w:hAnsi="Calibri"/>
          <w:b/>
          <w:i w:val="0"/>
          <w:color w:val="1F2937"/>
          <w:sz w:val="22"/>
        </w:rPr>
        <w:t>[date]</w:t>
      </w:r>
      <w:r>
        <w:rPr>
          <w:rFonts w:ascii="Calibri" w:hAnsi="Calibri"/>
          <w:b w:val="0"/>
          <w:i w:val="0"/>
          <w:color w:val="1F2937"/>
          <w:sz w:val="22"/>
        </w:rPr>
        <w:t>.</w:t>
      </w:r>
    </w:p>
    <w:p>
      <w:pPr>
        <w:spacing w:after="120" w:line="300" w:lineRule="auto"/>
      </w:pPr>
      <w:r>
        <w:rPr>
          <w:rFonts w:ascii="Calibri" w:hAnsi="Calibri"/>
          <w:b w:val="0"/>
          <w:i w:val="0"/>
          <w:color w:val="1F2937"/>
          <w:sz w:val="22"/>
        </w:rPr>
        <w:t>The parties will evaluate SteadFast's cloud platform for brokerage-controlled property listing creation, approval, publication, agent websites, sharing, public discovery and inquiries in Jamaica. The pilot is for evaluation and controlled business use and does not include transaction closing, trust accounting, vacation rentals or guaranteed external syndication.</w:t>
      </w:r>
    </w:p>
    <w:p>
      <w:pPr>
        <w:pStyle w:val="Heading2"/>
      </w:pPr>
      <w:r>
        <w:t>4.2 Pilot term and participants</w:t>
      </w:r>
    </w:p>
    <w:p>
      <w:pPr>
        <w:spacing w:after="120" w:line="300" w:lineRule="auto"/>
      </w:pPr>
      <w:r>
        <w:rPr>
          <w:rFonts w:ascii="Calibri" w:hAnsi="Calibri"/>
          <w:b w:val="0"/>
          <w:i w:val="0"/>
          <w:color w:val="1F2937"/>
          <w:sz w:val="22"/>
        </w:rPr>
        <w:t xml:space="preserve">The pilot begins </w:t>
      </w:r>
      <w:r>
        <w:rPr>
          <w:rFonts w:ascii="Calibri" w:hAnsi="Calibri"/>
          <w:b/>
          <w:i w:val="0"/>
          <w:color w:val="1F2937"/>
          <w:sz w:val="22"/>
        </w:rPr>
        <w:t>[date]</w:t>
      </w:r>
      <w:r>
        <w:rPr>
          <w:rFonts w:ascii="Calibri" w:hAnsi="Calibri"/>
          <w:b w:val="0"/>
          <w:i w:val="0"/>
          <w:color w:val="1F2937"/>
          <w:sz w:val="22"/>
        </w:rPr>
        <w:t xml:space="preserve"> and ends </w:t>
      </w:r>
      <w:r>
        <w:rPr>
          <w:rFonts w:ascii="Calibri" w:hAnsi="Calibri"/>
          <w:b/>
          <w:i w:val="0"/>
          <w:color w:val="1F2937"/>
          <w:sz w:val="22"/>
        </w:rPr>
        <w:t>[date]</w:t>
      </w:r>
      <w:r>
        <w:rPr>
          <w:rFonts w:ascii="Calibri" w:hAnsi="Calibri"/>
          <w:b w:val="0"/>
          <w:i w:val="0"/>
          <w:color w:val="1F2937"/>
          <w:sz w:val="22"/>
        </w:rPr>
        <w:t xml:space="preserve">, unless extended in writing. The Brokerage may authorize up to </w:t>
      </w:r>
      <w:r>
        <w:rPr>
          <w:rFonts w:ascii="Calibri" w:hAnsi="Calibri"/>
          <w:b/>
          <w:i w:val="0"/>
          <w:color w:val="1F2937"/>
          <w:sz w:val="22"/>
        </w:rPr>
        <w:t>[agents]</w:t>
      </w:r>
      <w:r>
        <w:rPr>
          <w:rFonts w:ascii="Calibri" w:hAnsi="Calibri"/>
          <w:b w:val="0"/>
          <w:i w:val="0"/>
          <w:color w:val="1F2937"/>
          <w:sz w:val="22"/>
        </w:rPr>
        <w:t xml:space="preserve"> agents and </w:t>
      </w:r>
      <w:r>
        <w:rPr>
          <w:rFonts w:ascii="Calibri" w:hAnsi="Calibri"/>
          <w:b/>
          <w:i w:val="0"/>
          <w:color w:val="1F2937"/>
          <w:sz w:val="22"/>
        </w:rPr>
        <w:t>[staff]</w:t>
      </w:r>
      <w:r>
        <w:rPr>
          <w:rFonts w:ascii="Calibri" w:hAnsi="Calibri"/>
          <w:b w:val="0"/>
          <w:i w:val="0"/>
          <w:color w:val="1F2937"/>
          <w:sz w:val="22"/>
        </w:rPr>
        <w:t xml:space="preserve"> staff. Every participant must use an individual account; shared accounts are prohibited.</w:t>
      </w:r>
    </w:p>
    <w:p>
      <w:pPr>
        <w:pStyle w:val="Heading2"/>
      </w:pPr>
      <w:r>
        <w:t>4.3 Pilot fees</w:t>
      </w:r>
    </w:p>
    <w:p>
      <w:pPr>
        <w:spacing w:after="120" w:line="300" w:lineRule="auto"/>
      </w:pPr>
      <w:r>
        <w:rPr>
          <w:rFonts w:ascii="Calibri" w:hAnsi="Calibri"/>
          <w:b w:val="0"/>
          <w:i w:val="0"/>
          <w:color w:val="1F2937"/>
          <w:sz w:val="22"/>
        </w:rPr>
        <w:t xml:space="preserve">Pilot fee: </w:t>
      </w:r>
      <w:r>
        <w:rPr>
          <w:rFonts w:ascii="Calibri" w:hAnsi="Calibri"/>
          <w:b/>
          <w:i w:val="0"/>
          <w:color w:val="1F2937"/>
          <w:sz w:val="22"/>
        </w:rPr>
        <w:t>[amount and currency]</w:t>
      </w:r>
      <w:r>
        <w:rPr>
          <w:rFonts w:ascii="Calibri" w:hAnsi="Calibri"/>
          <w:b w:val="0"/>
          <w:i w:val="0"/>
          <w:color w:val="1F2937"/>
          <w:sz w:val="22"/>
        </w:rPr>
        <w:t xml:space="preserve"> plus applicable taxes, payable </w:t>
      </w:r>
      <w:r>
        <w:rPr>
          <w:rFonts w:ascii="Calibri" w:hAnsi="Calibri"/>
          <w:b/>
          <w:i w:val="0"/>
          <w:color w:val="1F2937"/>
          <w:sz w:val="22"/>
        </w:rPr>
        <w:t>[terms]</w:t>
      </w:r>
      <w:r>
        <w:rPr>
          <w:rFonts w:ascii="Calibri" w:hAnsi="Calibri"/>
          <w:b w:val="0"/>
          <w:i w:val="0"/>
          <w:color w:val="1F2937"/>
          <w:sz w:val="22"/>
        </w:rPr>
        <w:t>. The parties must specify whether fees are refundable, credited toward a subscription, or waived. No automatic paid renewal applies unless the Brokerage separately accepts the Subscription Terms and order.</w:t>
      </w:r>
    </w:p>
    <w:p>
      <w:pPr>
        <w:pStyle w:val="Heading2"/>
      </w:pPr>
      <w:r>
        <w:t>4.4 SteadFast obligations</w:t>
      </w:r>
    </w:p>
    <w:p>
      <w:pPr>
        <w:spacing w:after="120" w:line="300" w:lineRule="auto"/>
      </w:pPr>
      <w:r>
        <w:rPr>
          <w:rFonts w:ascii="Calibri" w:hAnsi="Calibri"/>
          <w:b w:val="0"/>
          <w:i w:val="0"/>
          <w:color w:val="1F2937"/>
          <w:sz w:val="22"/>
        </w:rPr>
        <w:t>SteadFast will:</w:t>
      </w:r>
    </w:p>
    <w:p>
      <w:pPr>
        <w:pStyle w:val="ListBullet"/>
        <w:ind w:left="540" w:hanging="271"/>
      </w:pPr>
      <w:r>
        <w:rPr>
          <w:rFonts w:ascii="Calibri" w:hAnsi="Calibri"/>
          <w:b w:val="0"/>
          <w:i w:val="0"/>
          <w:color w:val="1F2937"/>
          <w:sz w:val="22"/>
        </w:rPr>
        <w:t>provide access to the agreed pilot features;</w:t>
      </w:r>
    </w:p>
    <w:p>
      <w:pPr>
        <w:pStyle w:val="ListBullet"/>
        <w:ind w:left="540" w:hanging="271"/>
      </w:pPr>
      <w:r>
        <w:rPr>
          <w:rFonts w:ascii="Calibri" w:hAnsi="Calibri"/>
          <w:b w:val="0"/>
          <w:i w:val="0"/>
          <w:color w:val="1F2937"/>
          <w:sz w:val="22"/>
        </w:rPr>
        <w:t>use reasonable technical and organizational measures;</w:t>
      </w:r>
    </w:p>
    <w:p>
      <w:pPr>
        <w:pStyle w:val="ListBullet"/>
        <w:ind w:left="540" w:hanging="271"/>
      </w:pPr>
      <w:r>
        <w:rPr>
          <w:rFonts w:ascii="Calibri" w:hAnsi="Calibri"/>
          <w:b w:val="0"/>
          <w:i w:val="0"/>
          <w:color w:val="1F2937"/>
          <w:sz w:val="22"/>
        </w:rPr>
        <w:t>maintain support and incident contacts;</w:t>
      </w:r>
    </w:p>
    <w:p>
      <w:pPr>
        <w:pStyle w:val="ListBullet"/>
        <w:ind w:left="540" w:hanging="271"/>
      </w:pPr>
      <w:r>
        <w:rPr>
          <w:rFonts w:ascii="Calibri" w:hAnsi="Calibri"/>
          <w:b w:val="0"/>
          <w:i w:val="0"/>
          <w:color w:val="1F2937"/>
          <w:sz w:val="22"/>
        </w:rPr>
        <w:t>correct reproducible platform defects according to agreed priority;</w:t>
      </w:r>
    </w:p>
    <w:p>
      <w:pPr>
        <w:pStyle w:val="ListBullet"/>
        <w:ind w:left="540" w:hanging="271"/>
      </w:pPr>
      <w:r>
        <w:rPr>
          <w:rFonts w:ascii="Calibri" w:hAnsi="Calibri"/>
          <w:b w:val="0"/>
          <w:i w:val="0"/>
          <w:color w:val="1F2937"/>
          <w:sz w:val="22"/>
        </w:rPr>
        <w:t>give reasonable notice of planned maintenance;</w:t>
      </w:r>
    </w:p>
    <w:p>
      <w:pPr>
        <w:pStyle w:val="ListBullet"/>
        <w:ind w:left="540" w:hanging="271"/>
      </w:pPr>
      <w:r>
        <w:rPr>
          <w:rFonts w:ascii="Calibri" w:hAnsi="Calibri"/>
          <w:b w:val="0"/>
          <w:i w:val="0"/>
          <w:color w:val="1F2937"/>
          <w:sz w:val="22"/>
        </w:rPr>
        <w:t>process personal data according to the approved Privacy Notice and Data Processing Schedule;</w:t>
      </w:r>
    </w:p>
    <w:p>
      <w:pPr>
        <w:pStyle w:val="ListBullet"/>
        <w:ind w:left="540" w:hanging="271"/>
      </w:pPr>
      <w:r>
        <w:rPr>
          <w:rFonts w:ascii="Calibri" w:hAnsi="Calibri"/>
          <w:b w:val="0"/>
          <w:i w:val="0"/>
          <w:color w:val="1F2937"/>
          <w:sz w:val="22"/>
        </w:rPr>
        <w:t>preserve material platform audit history according to retention policy;</w:t>
      </w:r>
    </w:p>
    <w:p>
      <w:pPr>
        <w:pStyle w:val="ListBullet"/>
        <w:ind w:left="540" w:hanging="271"/>
      </w:pPr>
      <w:r>
        <w:rPr>
          <w:rFonts w:ascii="Calibri" w:hAnsi="Calibri"/>
          <w:b w:val="0"/>
          <w:i w:val="0"/>
          <w:color w:val="1F2937"/>
          <w:sz w:val="22"/>
        </w:rPr>
        <w:t>avoid representing unapproved external integrations as active.</w:t>
      </w:r>
    </w:p>
    <w:p>
      <w:pPr>
        <w:pStyle w:val="Heading2"/>
      </w:pPr>
      <w:r>
        <w:t>4.5 Brokerage obligations</w:t>
      </w:r>
    </w:p>
    <w:p>
      <w:pPr>
        <w:spacing w:after="120" w:line="300" w:lineRule="auto"/>
      </w:pPr>
      <w:r>
        <w:rPr>
          <w:rFonts w:ascii="Calibri" w:hAnsi="Calibri"/>
          <w:b w:val="0"/>
          <w:i w:val="0"/>
          <w:color w:val="1F2937"/>
          <w:sz w:val="22"/>
        </w:rPr>
        <w:t>The Brokerage will:</w:t>
      </w:r>
    </w:p>
    <w:p>
      <w:pPr>
        <w:pStyle w:val="ListBullet"/>
        <w:ind w:left="540" w:hanging="271"/>
      </w:pPr>
      <w:r>
        <w:rPr>
          <w:rFonts w:ascii="Calibri" w:hAnsi="Calibri"/>
          <w:b w:val="0"/>
          <w:i w:val="0"/>
          <w:color w:val="1F2937"/>
          <w:sz w:val="22"/>
        </w:rPr>
        <w:t>approve its agents and staff and keep access current;</w:t>
      </w:r>
    </w:p>
    <w:p>
      <w:pPr>
        <w:pStyle w:val="ListBullet"/>
        <w:ind w:left="540" w:hanging="271"/>
      </w:pPr>
      <w:r>
        <w:rPr>
          <w:rFonts w:ascii="Calibri" w:hAnsi="Calibri"/>
          <w:b w:val="0"/>
          <w:i w:val="0"/>
          <w:color w:val="1F2937"/>
          <w:sz w:val="22"/>
        </w:rPr>
        <w:t>verify licensing, listing authority, documents, facts and advertising compliance;</w:t>
      </w:r>
    </w:p>
    <w:p>
      <w:pPr>
        <w:pStyle w:val="ListBullet"/>
        <w:ind w:left="540" w:hanging="271"/>
      </w:pPr>
      <w:r>
        <w:rPr>
          <w:rFonts w:ascii="Calibri" w:hAnsi="Calibri"/>
          <w:b w:val="0"/>
          <w:i w:val="0"/>
          <w:color w:val="1F2937"/>
          <w:sz w:val="22"/>
        </w:rPr>
        <w:t>appoint authorized reviewers and supervise self-approval;</w:t>
      </w:r>
    </w:p>
    <w:p>
      <w:pPr>
        <w:pStyle w:val="ListBullet"/>
        <w:ind w:left="540" w:hanging="271"/>
      </w:pPr>
      <w:r>
        <w:rPr>
          <w:rFonts w:ascii="Calibri" w:hAnsi="Calibri"/>
          <w:b w:val="0"/>
          <w:i w:val="0"/>
          <w:color w:val="1F2937"/>
          <w:sz w:val="22"/>
        </w:rPr>
        <w:t>ensure each public listing has an active representative;</w:t>
      </w:r>
    </w:p>
    <w:p>
      <w:pPr>
        <w:pStyle w:val="ListBullet"/>
        <w:ind w:left="540" w:hanging="271"/>
      </w:pPr>
      <w:r>
        <w:rPr>
          <w:rFonts w:ascii="Calibri" w:hAnsi="Calibri"/>
          <w:b w:val="0"/>
          <w:i w:val="0"/>
          <w:color w:val="1F2937"/>
          <w:sz w:val="22"/>
        </w:rPr>
        <w:t>respond to inquiries and listing disputes;</w:t>
      </w:r>
    </w:p>
    <w:p>
      <w:pPr>
        <w:pStyle w:val="ListBullet"/>
        <w:ind w:left="540" w:hanging="271"/>
      </w:pPr>
      <w:r>
        <w:rPr>
          <w:rFonts w:ascii="Calibri" w:hAnsi="Calibri"/>
          <w:b w:val="0"/>
          <w:i w:val="0"/>
          <w:color w:val="1F2937"/>
          <w:sz w:val="22"/>
        </w:rPr>
        <w:t>obtain owner/rights-holder permissions for text, images, location and distribution;</w:t>
      </w:r>
    </w:p>
    <w:p>
      <w:pPr>
        <w:pStyle w:val="ListBullet"/>
        <w:ind w:left="540" w:hanging="271"/>
      </w:pPr>
      <w:r>
        <w:rPr>
          <w:rFonts w:ascii="Calibri" w:hAnsi="Calibri"/>
          <w:b w:val="0"/>
          <w:i w:val="0"/>
          <w:color w:val="1F2937"/>
          <w:sz w:val="22"/>
        </w:rPr>
        <w:t>promptly deactivate departed personnel and reassign listings;</w:t>
      </w:r>
    </w:p>
    <w:p>
      <w:pPr>
        <w:pStyle w:val="ListBullet"/>
        <w:ind w:left="540" w:hanging="271"/>
      </w:pPr>
      <w:r>
        <w:rPr>
          <w:rFonts w:ascii="Calibri" w:hAnsi="Calibri"/>
          <w:b w:val="0"/>
          <w:i w:val="0"/>
          <w:color w:val="1F2937"/>
          <w:sz w:val="22"/>
        </w:rPr>
        <w:t>use test or authorized data only;</w:t>
      </w:r>
    </w:p>
    <w:p>
      <w:pPr>
        <w:pStyle w:val="ListBullet"/>
        <w:ind w:left="540" w:hanging="271"/>
      </w:pPr>
      <w:r>
        <w:rPr>
          <w:rFonts w:ascii="Calibri" w:hAnsi="Calibri"/>
          <w:b w:val="0"/>
          <w:i w:val="0"/>
          <w:color w:val="1F2937"/>
          <w:sz w:val="22"/>
        </w:rPr>
        <w:t>report suspected security/privacy incidents promptly;</w:t>
      </w:r>
    </w:p>
    <w:p>
      <w:pPr>
        <w:pStyle w:val="ListBullet"/>
        <w:ind w:left="540" w:hanging="271"/>
      </w:pPr>
      <w:r>
        <w:rPr>
          <w:rFonts w:ascii="Calibri" w:hAnsi="Calibri"/>
          <w:b w:val="0"/>
          <w:i w:val="0"/>
          <w:color w:val="1F2937"/>
          <w:sz w:val="22"/>
        </w:rPr>
        <w:t>not use the pilot for unlawful, misleading, discriminatory or infringing content.</w:t>
      </w:r>
    </w:p>
    <w:p>
      <w:pPr>
        <w:pStyle w:val="Heading2"/>
      </w:pPr>
      <w:r>
        <w:t>4.6 Listing authority and platform role</w:t>
      </w:r>
    </w:p>
    <w:p>
      <w:pPr>
        <w:spacing w:after="120" w:line="300" w:lineRule="auto"/>
      </w:pPr>
      <w:r>
        <w:rPr>
          <w:rFonts w:ascii="Calibri" w:hAnsi="Calibri"/>
          <w:b w:val="0"/>
          <w:i w:val="0"/>
          <w:color w:val="1F2937"/>
          <w:sz w:val="22"/>
        </w:rPr>
        <w:t>The Brokerage owns and controls its listing records. SteadFast provides software and technical operations; it does not verify title, ownership, property condition, licensing, listing documents or transaction suitability and does not act as the brokerage, agent, buyer, seller, landlord, tenant, lawyer, surveyor, valuer, lender or insurer.</w:t>
      </w:r>
    </w:p>
    <w:p>
      <w:pPr>
        <w:spacing w:after="120" w:line="300" w:lineRule="auto"/>
      </w:pPr>
      <w:r>
        <w:rPr>
          <w:rFonts w:ascii="Calibri" w:hAnsi="Calibri"/>
          <w:b w:val="0"/>
          <w:i w:val="0"/>
          <w:color w:val="1F2937"/>
          <w:sz w:val="22"/>
        </w:rPr>
        <w:t>SteadFast operations may monitor system flags and notify the Brokerage but will not approve, reject, edit or suspend a listing for a brokerage content dispute, except where counsel approves a separate emergency legal/safety process.</w:t>
      </w:r>
    </w:p>
    <w:p>
      <w:pPr>
        <w:pStyle w:val="Heading2"/>
      </w:pPr>
      <w:r>
        <w:t>4.7 Feedback and changes</w:t>
      </w:r>
    </w:p>
    <w:p>
      <w:pPr>
        <w:spacing w:after="120" w:line="300" w:lineRule="auto"/>
      </w:pPr>
      <w:r>
        <w:rPr>
          <w:rFonts w:ascii="Calibri" w:hAnsi="Calibri"/>
          <w:b w:val="0"/>
          <w:i w:val="0"/>
          <w:color w:val="1F2937"/>
          <w:sz w:val="22"/>
        </w:rPr>
        <w:t>Participants may provide feedback. SteadFast may use non-confidential feedback to improve the service without identifying the Brokerage. The pilot may change; material reductions to agreed functionality require notice and, where appropriate, an agreed remedy.</w:t>
      </w:r>
    </w:p>
    <w:p>
      <w:pPr>
        <w:pStyle w:val="Heading2"/>
      </w:pPr>
      <w:r>
        <w:t>4.8 Availability and support</w:t>
      </w:r>
    </w:p>
    <w:p>
      <w:pPr>
        <w:spacing w:after="120" w:line="300" w:lineRule="auto"/>
      </w:pPr>
      <w:r>
        <w:rPr>
          <w:rFonts w:ascii="Calibri" w:hAnsi="Calibri"/>
          <w:b w:val="0"/>
          <w:i w:val="0"/>
          <w:color w:val="1F2937"/>
          <w:sz w:val="22"/>
        </w:rPr>
        <w:t xml:space="preserve">Pilot target: </w:t>
      </w:r>
      <w:r>
        <w:rPr>
          <w:rFonts w:ascii="Calibri" w:hAnsi="Calibri"/>
          <w:b/>
          <w:i w:val="0"/>
          <w:color w:val="1F2937"/>
          <w:sz w:val="22"/>
        </w:rPr>
        <w:t>[target]</w:t>
      </w:r>
      <w:r>
        <w:rPr>
          <w:rFonts w:ascii="Calibri" w:hAnsi="Calibri"/>
          <w:b w:val="0"/>
          <w:i w:val="0"/>
          <w:color w:val="1F2937"/>
          <w:sz w:val="22"/>
        </w:rPr>
        <w:t xml:space="preserve">. Exclusions: scheduled maintenance, provider outages outside reasonable control, customer systems, force majeure and misuse. Support channel: </w:t>
      </w:r>
      <w:r>
        <w:rPr>
          <w:rFonts w:ascii="Calibri" w:hAnsi="Calibri"/>
          <w:b/>
          <w:i w:val="0"/>
          <w:color w:val="1F2937"/>
          <w:sz w:val="22"/>
        </w:rPr>
        <w:t>[channel]</w:t>
      </w:r>
      <w:r>
        <w:rPr>
          <w:rFonts w:ascii="Calibri" w:hAnsi="Calibri"/>
          <w:b w:val="0"/>
          <w:i w:val="0"/>
          <w:color w:val="1F2937"/>
          <w:sz w:val="22"/>
        </w:rPr>
        <w:t xml:space="preserve">; severity and response targets: </w:t>
      </w:r>
      <w:r>
        <w:rPr>
          <w:rFonts w:ascii="Calibri" w:hAnsi="Calibri"/>
          <w:b/>
          <w:i w:val="0"/>
          <w:color w:val="1F2937"/>
          <w:sz w:val="22"/>
        </w:rPr>
        <w:t>[schedule]</w:t>
      </w:r>
      <w:r>
        <w:rPr>
          <w:rFonts w:ascii="Calibri" w:hAnsi="Calibri"/>
          <w:b w:val="0"/>
          <w:i w:val="0"/>
          <w:color w:val="1F2937"/>
          <w:sz w:val="22"/>
        </w:rPr>
        <w:t>. Avoid promising a service level that the free provider plans cannot support.</w:t>
      </w:r>
    </w:p>
    <w:p>
      <w:pPr>
        <w:pStyle w:val="Heading2"/>
      </w:pPr>
      <w:r>
        <w:t>4.9 Confidentiality</w:t>
      </w:r>
    </w:p>
    <w:p>
      <w:pPr>
        <w:spacing w:after="120" w:line="300" w:lineRule="auto"/>
      </w:pPr>
      <w:r>
        <w:rPr>
          <w:rFonts w:ascii="Calibri" w:hAnsi="Calibri"/>
          <w:b w:val="0"/>
          <w:i w:val="0"/>
          <w:color w:val="1F2937"/>
          <w:sz w:val="22"/>
        </w:rPr>
        <w:t>Each party will protect non-public business, technical, security and customer information using at least reasonable care and use it only for the pilot. Exceptions include independently known, publicly available, lawfully received or independently developed information. Legally compelled disclosure requires notice where permitted.</w:t>
      </w:r>
    </w:p>
    <w:p>
      <w:pPr>
        <w:pStyle w:val="Heading2"/>
      </w:pPr>
      <w:r>
        <w:t>4.10 Data protection</w:t>
      </w:r>
    </w:p>
    <w:p>
      <w:pPr>
        <w:spacing w:after="120" w:line="300" w:lineRule="auto"/>
      </w:pPr>
      <w:r>
        <w:rPr>
          <w:rFonts w:ascii="Calibri" w:hAnsi="Calibri"/>
          <w:b w:val="0"/>
          <w:i w:val="0"/>
          <w:color w:val="1F2937"/>
          <w:sz w:val="22"/>
        </w:rPr>
        <w:t>The parties will sign the Data Processing and Security Schedule after counsel determines their roles. The Brokerage will provide required notices to its personnel and listing contacts. Each party will notify the other without undue delay of an incident affecting pilot data and cooperate on legally required assessment and notification.</w:t>
      </w:r>
    </w:p>
    <w:p>
      <w:pPr>
        <w:pStyle w:val="Heading2"/>
      </w:pPr>
      <w:r>
        <w:t>4.11 Intellectual property</w:t>
      </w:r>
    </w:p>
    <w:p>
      <w:pPr>
        <w:spacing w:after="120" w:line="300" w:lineRule="auto"/>
      </w:pPr>
      <w:r>
        <w:rPr>
          <w:rFonts w:ascii="Calibri" w:hAnsi="Calibri"/>
          <w:b w:val="0"/>
          <w:i w:val="0"/>
          <w:color w:val="1F2937"/>
          <w:sz w:val="22"/>
        </w:rPr>
        <w:t>SteadFast retains the platform, software, documentation, design and aggregated/de-identified learning. The Brokerage retains its listing content, brand and business data. The Brokerage grants SteadFast a limited, non-exclusive licence to host, process, reproduce, format and display content solely to provide the service and authorized distribution.</w:t>
      </w:r>
    </w:p>
    <w:p>
      <w:pPr>
        <w:pStyle w:val="Heading2"/>
      </w:pPr>
      <w:r>
        <w:t>4.12 Suspension and termination</w:t>
      </w:r>
    </w:p>
    <w:p>
      <w:pPr>
        <w:spacing w:after="120" w:line="300" w:lineRule="auto"/>
      </w:pPr>
      <w:r>
        <w:rPr>
          <w:rFonts w:ascii="Calibri" w:hAnsi="Calibri"/>
          <w:b w:val="0"/>
          <w:i w:val="0"/>
          <w:color w:val="1F2937"/>
          <w:sz w:val="22"/>
        </w:rPr>
        <w:t>Define narrowly tailored suspension rights for security, unlawful use, non-payment or material breach, with notice and cure where safe. On termination, access ends, public display is removed according to workflow, and data is exported/deleted according to the agreed schedule and legal retention duties.</w:t>
      </w:r>
    </w:p>
    <w:p>
      <w:pPr>
        <w:pStyle w:val="Heading2"/>
      </w:pPr>
      <w:r>
        <w:t>4.13 Warranties, liability and indemnity</w:t>
      </w:r>
    </w:p>
    <w:p>
      <w:pPr>
        <w:spacing w:after="120" w:line="300" w:lineRule="auto"/>
      </w:pPr>
      <w:r>
        <w:rPr>
          <w:rFonts w:ascii="Calibri" w:hAnsi="Calibri"/>
          <w:b w:val="0"/>
          <w:i w:val="0"/>
          <w:color w:val="1F2937"/>
          <w:sz w:val="22"/>
        </w:rPr>
        <w:t>Counsel must draft enforceable Jamaican clauses covering pilot/as-is limitations, data accuracy, third-party services, indirect damages, liability cap, exclusions that cannot legally be limited, and reciprocal indemnities for platform IP claims versus customer content/unlawful use. Do not use a blanket waiver that conflicts with consumer or statutory rights.</w:t>
      </w:r>
    </w:p>
    <w:p>
      <w:pPr>
        <w:pStyle w:val="Heading2"/>
      </w:pPr>
      <w:r>
        <w:t>4.14 Publicity</w:t>
      </w:r>
    </w:p>
    <w:p>
      <w:pPr>
        <w:spacing w:after="120" w:line="300" w:lineRule="auto"/>
      </w:pPr>
      <w:r>
        <w:rPr>
          <w:rFonts w:ascii="Calibri" w:hAnsi="Calibri"/>
          <w:b w:val="0"/>
          <w:i w:val="0"/>
          <w:color w:val="1F2937"/>
          <w:sz w:val="22"/>
        </w:rPr>
        <w:t>Neither party may use the other's name/logo or issue a public announcement without written approval, except a mutually approved pilot statement.</w:t>
      </w:r>
    </w:p>
    <w:p>
      <w:pPr>
        <w:pStyle w:val="Heading2"/>
      </w:pPr>
      <w:r>
        <w:t>4.15 General</w:t>
      </w:r>
    </w:p>
    <w:p>
      <w:pPr>
        <w:spacing w:after="120" w:line="300" w:lineRule="auto"/>
      </w:pPr>
      <w:r>
        <w:rPr>
          <w:rFonts w:ascii="Calibri" w:hAnsi="Calibri"/>
          <w:b w:val="0"/>
          <w:i w:val="0"/>
          <w:color w:val="1F2937"/>
          <w:sz w:val="22"/>
        </w:rPr>
        <w:t>Counsel to finalize notices, assignment, subcontracting, force majeure, waiver, severability, entire agreement, amendment, electronic signatures, governing law, dispute process and counterparts.</w:t>
      </w:r>
    </w:p>
    <w:p>
      <w:pPr>
        <w:pStyle w:val="Heading1"/>
      </w:pPr>
      <w:r>
        <w:t>5. Draft Subscription Terms of Service</w:t>
      </w:r>
    </w:p>
    <w:p>
      <w:pPr>
        <w:pStyle w:val="Heading2"/>
      </w:pPr>
      <w:r>
        <w:t>5.1 Service</w:t>
      </w:r>
    </w:p>
    <w:p>
      <w:pPr>
        <w:spacing w:after="120" w:line="300" w:lineRule="auto"/>
      </w:pPr>
      <w:r>
        <w:rPr>
          <w:rFonts w:ascii="Calibri" w:hAnsi="Calibri"/>
          <w:b w:val="0"/>
          <w:i w:val="0"/>
          <w:color w:val="1F2937"/>
          <w:sz w:val="22"/>
        </w:rPr>
        <w:t>SteadFast provides subscription software for brokerage-controlled property listing management, public discovery, professional websites, display sharing, inquiries and related administration. Feature availability depends on the order, plan, country and approved integrations.</w:t>
      </w:r>
    </w:p>
    <w:p>
      <w:pPr>
        <w:pStyle w:val="Heading2"/>
      </w:pPr>
      <w:r>
        <w:t>5.2 Eligibility and accounts</w:t>
      </w:r>
    </w:p>
    <w:p>
      <w:pPr>
        <w:spacing w:after="120" w:line="300" w:lineRule="auto"/>
      </w:pPr>
      <w:r>
        <w:rPr>
          <w:rFonts w:ascii="Calibri" w:hAnsi="Calibri"/>
          <w:b w:val="0"/>
          <w:i w:val="0"/>
          <w:color w:val="1F2937"/>
          <w:sz w:val="22"/>
        </w:rPr>
        <w:t>Consumers may browse without an account. Professional accounts require an approved brokerage relationship. Users must provide accurate information, protect credentials, use individual accounts and notify SteadFast of compromise. A person with multiple professional capabilities pays once according to the applicable plan/order, but each capability remains subject to authorization.</w:t>
      </w:r>
    </w:p>
    <w:p>
      <w:pPr>
        <w:pStyle w:val="Heading2"/>
      </w:pPr>
      <w:r>
        <w:t>5.3 Brokerage control</w:t>
      </w:r>
    </w:p>
    <w:p>
      <w:pPr>
        <w:spacing w:after="120" w:line="300" w:lineRule="auto"/>
      </w:pPr>
      <w:r>
        <w:rPr>
          <w:rFonts w:ascii="Calibri" w:hAnsi="Calibri"/>
          <w:b w:val="0"/>
          <w:i w:val="0"/>
          <w:color w:val="1F2937"/>
          <w:sz w:val="22"/>
        </w:rPr>
        <w:t>The Brokerage controls agent/staff approval, capability grants, listing approval, representative assignment and listing disputes. Listings belong to the Brokerage, not the individual agent. Agent departure removes represented listings from public display until the Brokerage assigns an active representative and completes required approval.</w:t>
      </w:r>
    </w:p>
    <w:p>
      <w:pPr>
        <w:pStyle w:val="Heading2"/>
      </w:pPr>
      <w:r>
        <w:t>5.4 Listing workflow</w:t>
      </w:r>
    </w:p>
    <w:p>
      <w:pPr>
        <w:spacing w:after="120" w:line="300" w:lineRule="auto"/>
      </w:pPr>
      <w:r>
        <w:rPr>
          <w:rFonts w:ascii="Calibri" w:hAnsi="Calibri"/>
          <w:b w:val="0"/>
          <w:i w:val="0"/>
          <w:color w:val="1F2937"/>
          <w:sz w:val="22"/>
        </w:rPr>
        <w:t>Agents create drafts; authorized Brokerage personnel approve initial publication and material changes, including price, removal and sold/rented status. Pending changes do not replace the approved public version. Authorized broker/staff self-approval may be allowed and is logged.</w:t>
      </w:r>
    </w:p>
    <w:p>
      <w:pPr>
        <w:spacing w:after="120" w:line="300" w:lineRule="auto"/>
      </w:pPr>
      <w:r>
        <w:rPr>
          <w:rFonts w:ascii="Calibri" w:hAnsi="Calibri"/>
          <w:b w:val="0"/>
          <w:i w:val="0"/>
          <w:color w:val="1F2937"/>
          <w:sz w:val="22"/>
        </w:rPr>
        <w:t>Display sharing is advertising permission only. The recipient cannot edit or own the listing and may remove it from their website. Shared pages identify owner and displaying agents, and the consumer selects a contact.</w:t>
      </w:r>
    </w:p>
    <w:p>
      <w:pPr>
        <w:pStyle w:val="Heading2"/>
      </w:pPr>
      <w:r>
        <w:t>5.5 Fees, billing and renewal</w:t>
      </w:r>
    </w:p>
    <w:p>
      <w:pPr>
        <w:spacing w:after="120" w:line="300" w:lineRule="auto"/>
      </w:pPr>
      <w:r>
        <w:rPr>
          <w:rFonts w:ascii="Calibri" w:hAnsi="Calibri"/>
          <w:b w:val="0"/>
          <w:i w:val="0"/>
          <w:color w:val="1F2937"/>
          <w:sz w:val="22"/>
        </w:rPr>
        <w:t>The order states plan, seats, price, currency, taxes, billing period and start date. Counsel must finalize:</w:t>
      </w:r>
    </w:p>
    <w:p>
      <w:pPr>
        <w:pStyle w:val="ListBullet"/>
        <w:ind w:left="540" w:hanging="271"/>
      </w:pPr>
      <w:r>
        <w:rPr>
          <w:rFonts w:ascii="Calibri" w:hAnsi="Calibri"/>
          <w:b w:val="0"/>
          <w:i w:val="0"/>
          <w:color w:val="1F2937"/>
          <w:sz w:val="22"/>
        </w:rPr>
        <w:t>monthly versus annual options;</w:t>
      </w:r>
    </w:p>
    <w:p>
      <w:pPr>
        <w:pStyle w:val="ListBullet"/>
        <w:ind w:left="540" w:hanging="271"/>
      </w:pPr>
      <w:r>
        <w:rPr>
          <w:rFonts w:ascii="Calibri" w:hAnsi="Calibri"/>
          <w:b w:val="0"/>
          <w:i w:val="0"/>
          <w:color w:val="1F2937"/>
          <w:sz w:val="22"/>
        </w:rPr>
        <w:t>current contemplated prices and limits;</w:t>
      </w:r>
    </w:p>
    <w:p>
      <w:pPr>
        <w:pStyle w:val="ListBullet"/>
        <w:ind w:left="540" w:hanging="271"/>
      </w:pPr>
      <w:r>
        <w:rPr>
          <w:rFonts w:ascii="Calibri" w:hAnsi="Calibri"/>
          <w:b w:val="0"/>
          <w:i w:val="0"/>
          <w:color w:val="1F2937"/>
          <w:sz w:val="22"/>
        </w:rPr>
        <w:t>automatic renewal and advance notice;</w:t>
      </w:r>
    </w:p>
    <w:p>
      <w:pPr>
        <w:pStyle w:val="ListBullet"/>
        <w:ind w:left="540" w:hanging="271"/>
      </w:pPr>
      <w:r>
        <w:rPr>
          <w:rFonts w:ascii="Calibri" w:hAnsi="Calibri"/>
          <w:b w:val="0"/>
          <w:i w:val="0"/>
          <w:color w:val="1F2937"/>
          <w:sz w:val="22"/>
        </w:rPr>
        <w:t>payment failure and grace period;</w:t>
      </w:r>
    </w:p>
    <w:p>
      <w:pPr>
        <w:pStyle w:val="ListBullet"/>
        <w:ind w:left="540" w:hanging="271"/>
      </w:pPr>
      <w:r>
        <w:rPr>
          <w:rFonts w:ascii="Calibri" w:hAnsi="Calibri"/>
          <w:b w:val="0"/>
          <w:i w:val="0"/>
          <w:color w:val="1F2937"/>
          <w:sz w:val="22"/>
        </w:rPr>
        <w:t>upgrades/downgrades and proration;</w:t>
      </w:r>
    </w:p>
    <w:p>
      <w:pPr>
        <w:pStyle w:val="ListBullet"/>
        <w:ind w:left="540" w:hanging="271"/>
      </w:pPr>
      <w:r>
        <w:rPr>
          <w:rFonts w:ascii="Calibri" w:hAnsi="Calibri"/>
          <w:b w:val="0"/>
          <w:i w:val="0"/>
          <w:color w:val="1F2937"/>
          <w:sz w:val="22"/>
        </w:rPr>
        <w:t>refunds/cancellation;</w:t>
      </w:r>
    </w:p>
    <w:p>
      <w:pPr>
        <w:pStyle w:val="ListBullet"/>
        <w:ind w:left="540" w:hanging="271"/>
      </w:pPr>
      <w:r>
        <w:rPr>
          <w:rFonts w:ascii="Calibri" w:hAnsi="Calibri"/>
          <w:b w:val="0"/>
          <w:i w:val="0"/>
          <w:color w:val="1F2937"/>
          <w:sz w:val="22"/>
        </w:rPr>
        <w:t>price-change notice;</w:t>
      </w:r>
    </w:p>
    <w:p>
      <w:pPr>
        <w:pStyle w:val="ListBullet"/>
        <w:ind w:left="540" w:hanging="271"/>
      </w:pPr>
      <w:r>
        <w:rPr>
          <w:rFonts w:ascii="Calibri" w:hAnsi="Calibri"/>
          <w:b w:val="0"/>
          <w:i w:val="0"/>
          <w:color w:val="1F2937"/>
          <w:sz w:val="22"/>
        </w:rPr>
        <w:t>treatment of processor fees and taxes.</w:t>
      </w:r>
    </w:p>
    <w:p>
      <w:pPr>
        <w:spacing w:after="120" w:line="300" w:lineRule="auto"/>
      </w:pPr>
      <w:r>
        <w:rPr>
          <w:rFonts w:ascii="Calibri" w:hAnsi="Calibri"/>
          <w:b w:val="0"/>
          <w:i w:val="0"/>
          <w:color w:val="1F2937"/>
          <w:sz w:val="22"/>
        </w:rPr>
        <w:t>Visitors and registered consumers are free unless SteadFast introduces an optional paid consumer service under separate terms.</w:t>
      </w:r>
    </w:p>
    <w:p>
      <w:pPr>
        <w:pStyle w:val="Heading2"/>
      </w:pPr>
      <w:r>
        <w:t>5.6 Customer content licence and responsibility</w:t>
      </w:r>
    </w:p>
    <w:p>
      <w:pPr>
        <w:spacing w:after="120" w:line="300" w:lineRule="auto"/>
      </w:pPr>
      <w:r>
        <w:rPr>
          <w:rFonts w:ascii="Calibri" w:hAnsi="Calibri"/>
          <w:b w:val="0"/>
          <w:i w:val="0"/>
          <w:color w:val="1F2937"/>
          <w:sz w:val="22"/>
        </w:rPr>
        <w:t>The customer retains content and grants the limited service licence described above. Customer warrants it has rights and lawful authority to submit, advertise and distribute the content and that it is accurate, current, non-misleading, non-discriminatory, privacy-compliant and consistent with real-estate rules.</w:t>
      </w:r>
    </w:p>
    <w:p>
      <w:pPr>
        <w:pStyle w:val="Heading2"/>
      </w:pPr>
      <w:r>
        <w:t>5.7 External services and syndication</w:t>
      </w:r>
    </w:p>
    <w:p>
      <w:pPr>
        <w:spacing w:after="120" w:line="300" w:lineRule="auto"/>
      </w:pPr>
      <w:r>
        <w:rPr>
          <w:rFonts w:ascii="Calibri" w:hAnsi="Calibri"/>
          <w:b w:val="0"/>
          <w:i w:val="0"/>
          <w:color w:val="1F2937"/>
          <w:sz w:val="22"/>
        </w:rPr>
        <w:t>Maps, payments, email, hosting and listing destinations may be third-party services. External delivery is not guaranteed and may require separate eligibility, terms, fees and provider approval. SteadFast will identify active contracted channels; marketing examples do not create a delivery obligation.</w:t>
      </w:r>
    </w:p>
    <w:p>
      <w:pPr>
        <w:pStyle w:val="Heading2"/>
      </w:pPr>
      <w:r>
        <w:t>5.8 Acceptable use</w:t>
      </w:r>
    </w:p>
    <w:p>
      <w:pPr>
        <w:spacing w:after="120" w:line="300" w:lineRule="auto"/>
      </w:pPr>
      <w:r>
        <w:rPr>
          <w:rFonts w:ascii="Calibri" w:hAnsi="Calibri"/>
          <w:b w:val="0"/>
          <w:i w:val="0"/>
          <w:color w:val="1F2937"/>
          <w:sz w:val="22"/>
        </w:rPr>
        <w:t>The Acceptable Use Policy is incorporated. Serious or repeated violations may result in proportionate restriction or termination, subject to notice/cure and statutory rights.</w:t>
      </w:r>
    </w:p>
    <w:p>
      <w:pPr>
        <w:pStyle w:val="Heading2"/>
      </w:pPr>
      <w:r>
        <w:t>5.9 Privacy and security</w:t>
      </w:r>
    </w:p>
    <w:p>
      <w:pPr>
        <w:spacing w:after="120" w:line="300" w:lineRule="auto"/>
      </w:pPr>
      <w:r>
        <w:rPr>
          <w:rFonts w:ascii="Calibri" w:hAnsi="Calibri"/>
          <w:b w:val="0"/>
          <w:i w:val="0"/>
          <w:color w:val="1F2937"/>
          <w:sz w:val="22"/>
        </w:rPr>
        <w:t>The Privacy Notice and applicable Data Processing Schedule govern personal data. Customers must configure access appropriately, respond to user departures and avoid placing unnecessary sensitive data in listings or messages.</w:t>
      </w:r>
    </w:p>
    <w:p>
      <w:pPr>
        <w:pStyle w:val="Heading2"/>
      </w:pPr>
      <w:r>
        <w:t>5.10 Service changes and availability</w:t>
      </w:r>
    </w:p>
    <w:p>
      <w:pPr>
        <w:spacing w:after="120" w:line="300" w:lineRule="auto"/>
      </w:pPr>
      <w:r>
        <w:rPr>
          <w:rFonts w:ascii="Calibri" w:hAnsi="Calibri"/>
          <w:b w:val="0"/>
          <w:i w:val="0"/>
          <w:color w:val="1F2937"/>
          <w:sz w:val="22"/>
        </w:rPr>
        <w:t>SteadFast may improve the service and retire non-material functions. Material adverse changes require reasonable notice. Any service-level commitment must be in the order; otherwise use a reasonable-efforts standard approved by counsel.</w:t>
      </w:r>
    </w:p>
    <w:p>
      <w:pPr>
        <w:pStyle w:val="Heading2"/>
      </w:pPr>
      <w:r>
        <w:t>5.11 Termination and data return</w:t>
      </w:r>
    </w:p>
    <w:p>
      <w:pPr>
        <w:spacing w:after="120" w:line="300" w:lineRule="auto"/>
      </w:pPr>
      <w:r>
        <w:rPr>
          <w:rFonts w:ascii="Calibri" w:hAnsi="Calibri"/>
          <w:b w:val="0"/>
          <w:i w:val="0"/>
          <w:color w:val="1F2937"/>
          <w:sz w:val="22"/>
        </w:rPr>
        <w:t>Define termination for convenience/breach, effect on public sites, export format and window, legal/audit retention, backup expiry and deletion confirmation. A Brokerage export must not disclose another Brokerage or unauthorized consumer data.</w:t>
      </w:r>
    </w:p>
    <w:p>
      <w:pPr>
        <w:pStyle w:val="Heading2"/>
      </w:pPr>
      <w:r>
        <w:t>5.12 Disclaimers and liability</w:t>
      </w:r>
    </w:p>
    <w:p>
      <w:pPr>
        <w:spacing w:after="120" w:line="300" w:lineRule="auto"/>
      </w:pPr>
      <w:r>
        <w:rPr>
          <w:rFonts w:ascii="Calibri" w:hAnsi="Calibri"/>
          <w:b w:val="0"/>
          <w:i w:val="0"/>
          <w:color w:val="1F2937"/>
          <w:sz w:val="22"/>
        </w:rPr>
        <w:t>SteadFast does not guarantee property accuracy, availability, title, condition, value, licensing, response, transaction completion or external-channel acceptance. Counsel must adapt warranties, caps and exclusions to Jamaican law and the contracting party type.</w:t>
      </w:r>
    </w:p>
    <w:p>
      <w:pPr>
        <w:pStyle w:val="Heading1"/>
      </w:pPr>
      <w:r>
        <w:t>6. Draft Privacy Notice</w:t>
      </w:r>
    </w:p>
    <w:p>
      <w:pPr>
        <w:pStyle w:val="Heading2"/>
      </w:pPr>
      <w:r>
        <w:t>6.1 Who we are</w:t>
      </w:r>
    </w:p>
    <w:p>
      <w:pPr>
        <w:spacing w:after="120" w:line="300" w:lineRule="auto"/>
      </w:pPr>
      <w:r>
        <w:rPr>
          <w:rFonts w:ascii="Calibri" w:hAnsi="Calibri"/>
          <w:b/>
          <w:i w:val="0"/>
          <w:color w:val="1F2937"/>
          <w:sz w:val="22"/>
        </w:rPr>
        <w:t>[SteadFast legal entity and address]</w:t>
      </w:r>
      <w:r>
        <w:rPr>
          <w:rFonts w:ascii="Calibri" w:hAnsi="Calibri"/>
          <w:b w:val="0"/>
          <w:i w:val="0"/>
          <w:color w:val="1F2937"/>
          <w:sz w:val="22"/>
        </w:rPr>
        <w:t xml:space="preserve"> operates SteadFast. Contact </w:t>
      </w:r>
      <w:r>
        <w:rPr>
          <w:rFonts w:ascii="Calibri" w:hAnsi="Calibri"/>
          <w:b/>
          <w:i w:val="0"/>
          <w:color w:val="1F2937"/>
          <w:sz w:val="22"/>
        </w:rPr>
        <w:t>[privacy email]</w:t>
      </w:r>
      <w:r>
        <w:rPr>
          <w:rFonts w:ascii="Calibri" w:hAnsi="Calibri"/>
          <w:b w:val="0"/>
          <w:i w:val="0"/>
          <w:color w:val="1F2937"/>
          <w:sz w:val="22"/>
        </w:rPr>
        <w:t xml:space="preserve"> or </w:t>
      </w:r>
      <w:r>
        <w:rPr>
          <w:rFonts w:ascii="Calibri" w:hAnsi="Calibri"/>
          <w:b/>
          <w:i w:val="0"/>
          <w:color w:val="1F2937"/>
          <w:sz w:val="22"/>
        </w:rPr>
        <w:t>[postal address]</w:t>
      </w:r>
      <w:r>
        <w:rPr>
          <w:rFonts w:ascii="Calibri" w:hAnsi="Calibri"/>
          <w:b w:val="0"/>
          <w:i w:val="0"/>
          <w:color w:val="1F2937"/>
          <w:sz w:val="22"/>
        </w:rPr>
        <w:t xml:space="preserve">. Data Protection Officer: </w:t>
      </w:r>
      <w:r>
        <w:rPr>
          <w:rFonts w:ascii="Calibri" w:hAnsi="Calibri"/>
          <w:b/>
          <w:i w:val="0"/>
          <w:color w:val="1F2937"/>
          <w:sz w:val="22"/>
        </w:rPr>
        <w:t>[if required/name/contact]</w:t>
      </w:r>
      <w:r>
        <w:rPr>
          <w:rFonts w:ascii="Calibri" w:hAnsi="Calibri"/>
          <w:b w:val="0"/>
          <w:i w:val="0"/>
          <w:color w:val="1F2937"/>
          <w:sz w:val="22"/>
        </w:rPr>
        <w:t>.</w:t>
      </w:r>
    </w:p>
    <w:p>
      <w:pPr>
        <w:pStyle w:val="Heading2"/>
      </w:pPr>
      <w:r>
        <w:t>6.2 Information collected</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Pr>
          <w:p>
            <w:pPr>
              <w:spacing w:after="0"/>
            </w:pPr>
            <w:r>
              <w:rPr>
                <w:rFonts w:ascii="Calibri" w:hAnsi="Calibri"/>
                <w:b/>
                <w:i w:val="0"/>
                <w:color w:val="17365D"/>
                <w:sz w:val="18"/>
              </w:rPr>
              <w:t>Category</w:t>
            </w:r>
          </w:p>
        </w:tc>
        <w:tc>
          <w:tcPr>
            <w:tcW w:type="dxa" w:w="7160"/>
            <w:shd w:fill="E8EEF5"/>
          </w:tcPr>
          <w:p>
            <w:pPr>
              <w:spacing w:after="0"/>
            </w:pPr>
            <w:r>
              <w:rPr>
                <w:rFonts w:ascii="Calibri" w:hAnsi="Calibri"/>
                <w:b/>
                <w:i w:val="0"/>
                <w:color w:val="17365D"/>
                <w:sz w:val="18"/>
              </w:rPr>
              <w:t>Examples</w:t>
            </w:r>
          </w:p>
        </w:tc>
      </w:tr>
      <w:tr>
        <w:trPr>
          <w:cantSplit/>
        </w:trPr>
        <w:tc>
          <w:tcPr>
            <w:tcW w:type="dxa" w:w="2200"/>
          </w:tcPr>
          <w:p>
            <w:pPr>
              <w:spacing w:before="0" w:after="0" w:line="252" w:lineRule="auto"/>
            </w:pPr>
            <w:r>
              <w:rPr>
                <w:rFonts w:ascii="Calibri" w:hAnsi="Calibri"/>
                <w:b w:val="0"/>
                <w:i w:val="0"/>
                <w:color w:val="1F2937"/>
                <w:sz w:val="17"/>
              </w:rPr>
              <w:t>Account</w:t>
            </w:r>
          </w:p>
        </w:tc>
        <w:tc>
          <w:tcPr>
            <w:tcW w:type="dxa" w:w="7160"/>
          </w:tcPr>
          <w:p>
            <w:pPr>
              <w:spacing w:before="0" w:after="0" w:line="252" w:lineRule="auto"/>
            </w:pPr>
            <w:r>
              <w:rPr>
                <w:rFonts w:ascii="Calibri" w:hAnsi="Calibri"/>
                <w:b w:val="0"/>
                <w:i w:val="0"/>
                <w:color w:val="1F2937"/>
                <w:sz w:val="17"/>
              </w:rPr>
              <w:t>Name, email, phone, password handled by auth provider, verification and session data</w:t>
            </w:r>
          </w:p>
        </w:tc>
      </w:tr>
      <w:tr>
        <w:trPr>
          <w:cantSplit/>
        </w:trPr>
        <w:tc>
          <w:tcPr>
            <w:tcW w:type="dxa" w:w="2200"/>
            <w:shd w:fill="F7F9FB"/>
          </w:tcPr>
          <w:p>
            <w:pPr>
              <w:spacing w:before="0" w:after="0" w:line="252" w:lineRule="auto"/>
            </w:pPr>
            <w:r>
              <w:rPr>
                <w:rFonts w:ascii="Calibri" w:hAnsi="Calibri"/>
                <w:b w:val="0"/>
                <w:i w:val="0"/>
                <w:color w:val="1F2937"/>
                <w:sz w:val="17"/>
              </w:rPr>
              <w:t>Professional</w:t>
            </w:r>
          </w:p>
        </w:tc>
        <w:tc>
          <w:tcPr>
            <w:tcW w:type="dxa" w:w="7160"/>
            <w:shd w:fill="F7F9FB"/>
          </w:tcPr>
          <w:p>
            <w:pPr>
              <w:spacing w:before="0" w:after="0" w:line="252" w:lineRule="auto"/>
            </w:pPr>
            <w:r>
              <w:rPr>
                <w:rFonts w:ascii="Calibri" w:hAnsi="Calibri"/>
                <w:b w:val="0"/>
                <w:i w:val="0"/>
                <w:color w:val="1F2937"/>
                <w:sz w:val="17"/>
              </w:rPr>
              <w:t>Brokerage, role, licence/reference information, profile, website settings</w:t>
            </w:r>
          </w:p>
        </w:tc>
      </w:tr>
      <w:tr>
        <w:trPr>
          <w:cantSplit/>
        </w:trPr>
        <w:tc>
          <w:tcPr>
            <w:tcW w:type="dxa" w:w="2200"/>
          </w:tcPr>
          <w:p>
            <w:pPr>
              <w:spacing w:before="0" w:after="0" w:line="252" w:lineRule="auto"/>
            </w:pPr>
            <w:r>
              <w:rPr>
                <w:rFonts w:ascii="Calibri" w:hAnsi="Calibri"/>
                <w:b w:val="0"/>
                <w:i w:val="0"/>
                <w:color w:val="1F2937"/>
                <w:sz w:val="17"/>
              </w:rPr>
              <w:t>Listing</w:t>
            </w:r>
          </w:p>
        </w:tc>
        <w:tc>
          <w:tcPr>
            <w:tcW w:type="dxa" w:w="7160"/>
          </w:tcPr>
          <w:p>
            <w:pPr>
              <w:spacing w:before="0" w:after="0" w:line="252" w:lineRule="auto"/>
            </w:pPr>
            <w:r>
              <w:rPr>
                <w:rFonts w:ascii="Calibri" w:hAnsi="Calibri"/>
                <w:b w:val="0"/>
                <w:i w:val="0"/>
                <w:color w:val="1F2937"/>
                <w:sz w:val="17"/>
              </w:rPr>
              <w:t>Property facts, address/location, media, descriptions, versions, approvals and shares</w:t>
            </w:r>
          </w:p>
        </w:tc>
      </w:tr>
      <w:tr>
        <w:trPr>
          <w:cantSplit/>
        </w:trPr>
        <w:tc>
          <w:tcPr>
            <w:tcW w:type="dxa" w:w="2200"/>
            <w:shd w:fill="F7F9FB"/>
          </w:tcPr>
          <w:p>
            <w:pPr>
              <w:spacing w:before="0" w:after="0" w:line="252" w:lineRule="auto"/>
            </w:pPr>
            <w:r>
              <w:rPr>
                <w:rFonts w:ascii="Calibri" w:hAnsi="Calibri"/>
                <w:b w:val="0"/>
                <w:i w:val="0"/>
                <w:color w:val="1F2937"/>
                <w:sz w:val="17"/>
              </w:rPr>
              <w:t>Inquiry</w:t>
            </w:r>
          </w:p>
        </w:tc>
        <w:tc>
          <w:tcPr>
            <w:tcW w:type="dxa" w:w="7160"/>
            <w:shd w:fill="F7F9FB"/>
          </w:tcPr>
          <w:p>
            <w:pPr>
              <w:spacing w:before="0" w:after="0" w:line="252" w:lineRule="auto"/>
            </w:pPr>
            <w:r>
              <w:rPr>
                <w:rFonts w:ascii="Calibri" w:hAnsi="Calibri"/>
                <w:b w:val="0"/>
                <w:i w:val="0"/>
                <w:color w:val="1F2937"/>
                <w:sz w:val="17"/>
              </w:rPr>
              <w:t>Name, contact, message, chosen agent, consent, source and delivery history</w:t>
            </w:r>
          </w:p>
        </w:tc>
      </w:tr>
      <w:tr>
        <w:trPr>
          <w:cantSplit/>
        </w:trPr>
        <w:tc>
          <w:tcPr>
            <w:tcW w:type="dxa" w:w="2200"/>
          </w:tcPr>
          <w:p>
            <w:pPr>
              <w:spacing w:before="0" w:after="0" w:line="252" w:lineRule="auto"/>
            </w:pPr>
            <w:r>
              <w:rPr>
                <w:rFonts w:ascii="Calibri" w:hAnsi="Calibri"/>
                <w:b w:val="0"/>
                <w:i w:val="0"/>
                <w:color w:val="1F2937"/>
                <w:sz w:val="17"/>
              </w:rPr>
              <w:t>Billing</w:t>
            </w:r>
          </w:p>
        </w:tc>
        <w:tc>
          <w:tcPr>
            <w:tcW w:type="dxa" w:w="7160"/>
          </w:tcPr>
          <w:p>
            <w:pPr>
              <w:spacing w:before="0" w:after="0" w:line="252" w:lineRule="auto"/>
            </w:pPr>
            <w:r>
              <w:rPr>
                <w:rFonts w:ascii="Calibri" w:hAnsi="Calibri"/>
                <w:b w:val="0"/>
                <w:i w:val="0"/>
                <w:color w:val="1F2937"/>
                <w:sz w:val="17"/>
              </w:rPr>
              <w:t>Plan, invoices, amounts, currency, tax and payment-provider references; not full card data</w:t>
            </w:r>
          </w:p>
        </w:tc>
      </w:tr>
      <w:tr>
        <w:trPr>
          <w:cantSplit/>
        </w:trPr>
        <w:tc>
          <w:tcPr>
            <w:tcW w:type="dxa" w:w="2200"/>
            <w:shd w:fill="F7F9FB"/>
          </w:tcPr>
          <w:p>
            <w:pPr>
              <w:spacing w:before="0" w:after="0" w:line="252" w:lineRule="auto"/>
            </w:pPr>
            <w:r>
              <w:rPr>
                <w:rFonts w:ascii="Calibri" w:hAnsi="Calibri"/>
                <w:b w:val="0"/>
                <w:i w:val="0"/>
                <w:color w:val="1F2937"/>
                <w:sz w:val="17"/>
              </w:rPr>
              <w:t>Technical</w:t>
            </w:r>
          </w:p>
        </w:tc>
        <w:tc>
          <w:tcPr>
            <w:tcW w:type="dxa" w:w="7160"/>
            <w:shd w:fill="F7F9FB"/>
          </w:tcPr>
          <w:p>
            <w:pPr>
              <w:spacing w:before="0" w:after="0" w:line="252" w:lineRule="auto"/>
            </w:pPr>
            <w:r>
              <w:rPr>
                <w:rFonts w:ascii="Calibri" w:hAnsi="Calibri"/>
                <w:b w:val="0"/>
                <w:i w:val="0"/>
                <w:color w:val="1F2937"/>
                <w:sz w:val="17"/>
              </w:rPr>
              <w:t>IP, device/browser, request IDs, security events, usage and diagnostic logs</w:t>
            </w:r>
          </w:p>
        </w:tc>
      </w:tr>
      <w:tr>
        <w:trPr>
          <w:cantSplit/>
        </w:trPr>
        <w:tc>
          <w:tcPr>
            <w:tcW w:type="dxa" w:w="2200"/>
          </w:tcPr>
          <w:p>
            <w:pPr>
              <w:spacing w:before="0" w:after="0" w:line="252" w:lineRule="auto"/>
            </w:pPr>
            <w:r>
              <w:rPr>
                <w:rFonts w:ascii="Calibri" w:hAnsi="Calibri"/>
                <w:b w:val="0"/>
                <w:i w:val="0"/>
                <w:color w:val="1F2937"/>
                <w:sz w:val="17"/>
              </w:rPr>
              <w:t>Support/audit</w:t>
            </w:r>
          </w:p>
        </w:tc>
        <w:tc>
          <w:tcPr>
            <w:tcW w:type="dxa" w:w="7160"/>
          </w:tcPr>
          <w:p>
            <w:pPr>
              <w:spacing w:before="0" w:after="0" w:line="252" w:lineRule="auto"/>
            </w:pPr>
            <w:r>
              <w:rPr>
                <w:rFonts w:ascii="Calibri" w:hAnsi="Calibri"/>
                <w:b w:val="0"/>
                <w:i w:val="0"/>
                <w:color w:val="1F2937"/>
                <w:sz w:val="17"/>
              </w:rPr>
              <w:t>Support communications, decisions, access grants and material activity</w:t>
            </w:r>
          </w:p>
        </w:tc>
      </w:tr>
    </w:tbl>
    <w:p>
      <w:pPr>
        <w:spacing w:after="0"/>
      </w:pPr>
    </w:p>
    <w:p>
      <w:pPr>
        <w:pStyle w:val="Heading2"/>
      </w:pPr>
      <w:r>
        <w:t>6.3 Sources</w:t>
      </w:r>
    </w:p>
    <w:p>
      <w:pPr>
        <w:spacing w:after="120" w:line="300" w:lineRule="auto"/>
      </w:pPr>
      <w:r>
        <w:rPr>
          <w:rFonts w:ascii="Calibri" w:hAnsi="Calibri"/>
          <w:b w:val="0"/>
          <w:i w:val="0"/>
          <w:color w:val="1F2937"/>
          <w:sz w:val="22"/>
        </w:rPr>
        <w:t>From the person, Brokerage, other authorized users, public interactions, service providers and approved integration partners. Brokerage must have authority to provide professional and listing data.</w:t>
      </w:r>
    </w:p>
    <w:p>
      <w:pPr>
        <w:pStyle w:val="Heading2"/>
      </w:pPr>
      <w:r>
        <w:t>6.4 Purposes and lawful bases</w:t>
      </w:r>
    </w:p>
    <w:p>
      <w:pPr>
        <w:spacing w:after="120" w:line="300" w:lineRule="auto"/>
      </w:pPr>
      <w:r>
        <w:rPr>
          <w:rFonts w:ascii="Calibri" w:hAnsi="Calibri"/>
          <w:b w:val="0"/>
          <w:i w:val="0"/>
          <w:color w:val="1F2937"/>
          <w:sz w:val="22"/>
        </w:rPr>
        <w:t>Counsel must map each purpose to the lawful basis under Jamaican law. Purposes include account/service performance, public listing display, inquiry routing, billing, security/fraud prevention, support, legal compliance, service improvement and marketing only where permitted with appropriate choice.</w:t>
      </w:r>
    </w:p>
    <w:p>
      <w:pPr>
        <w:pStyle w:val="Heading2"/>
      </w:pPr>
      <w:r>
        <w:t>6.5 Public information</w:t>
      </w:r>
    </w:p>
    <w:p>
      <w:pPr>
        <w:spacing w:after="120" w:line="300" w:lineRule="auto"/>
      </w:pPr>
      <w:r>
        <w:rPr>
          <w:rFonts w:ascii="Calibri" w:hAnsi="Calibri"/>
          <w:b w:val="0"/>
          <w:i w:val="0"/>
          <w:color w:val="1F2937"/>
          <w:sz w:val="22"/>
        </w:rPr>
        <w:t>Approved listing, brokerage and professional profile fields are intentionally public. Drafts, pending changes, internal review, exact/private location, inquiries, billing and restricted audit information are not public. Users must not submit private information into public description fields.</w:t>
      </w:r>
    </w:p>
    <w:p>
      <w:pPr>
        <w:pStyle w:val="Heading2"/>
      </w:pPr>
      <w:r>
        <w:t>6.6 Sharing and recipients</w:t>
      </w:r>
    </w:p>
    <w:p>
      <w:pPr>
        <w:spacing w:after="120" w:line="300" w:lineRule="auto"/>
      </w:pPr>
      <w:r>
        <w:rPr>
          <w:rFonts w:ascii="Calibri" w:hAnsi="Calibri"/>
          <w:b w:val="0"/>
          <w:i w:val="0"/>
          <w:color w:val="1F2937"/>
          <w:sz w:val="22"/>
        </w:rPr>
        <w:t>Share only as needed with selected/secondary agents, the relevant Brokerage, contracted hosting/auth/storage/email/maps/payment/monitoring providers, approved listing channels, professional advisers, regulators/law enforcement where lawful, and a successor in a properly governed transaction.</w:t>
      </w:r>
    </w:p>
    <w:p>
      <w:pPr>
        <w:spacing w:after="120" w:line="300" w:lineRule="auto"/>
      </w:pPr>
      <w:r>
        <w:rPr>
          <w:rFonts w:ascii="Calibri" w:hAnsi="Calibri"/>
          <w:b w:val="0"/>
          <w:i w:val="0"/>
          <w:color w:val="1F2937"/>
          <w:sz w:val="22"/>
        </w:rPr>
        <w:t>Publish a current subprocessor list with purpose and location. Selling personal data or unrelated data-broker use is prohibited unless separately assessed, disclosed and lawfully authorized.</w:t>
      </w:r>
    </w:p>
    <w:p>
      <w:pPr>
        <w:pStyle w:val="Heading2"/>
      </w:pPr>
      <w:r>
        <w:t>6.7 International transfers</w:t>
      </w:r>
    </w:p>
    <w:p>
      <w:pPr>
        <w:spacing w:after="120" w:line="300" w:lineRule="auto"/>
      </w:pPr>
      <w:r>
        <w:rPr>
          <w:rFonts w:ascii="Calibri" w:hAnsi="Calibri"/>
          <w:b w:val="0"/>
          <w:i w:val="0"/>
          <w:color w:val="1F2937"/>
          <w:sz w:val="22"/>
        </w:rPr>
        <w:t>Vercel, Supabase and other providers may process data outside Jamaica. Counsel must identify locations and approve safeguards, contracts, transparency and transfer assessment required by the Data Protection Act.</w:t>
      </w:r>
    </w:p>
    <w:p>
      <w:pPr>
        <w:pStyle w:val="Heading2"/>
      </w:pPr>
      <w:r>
        <w:t>6.8 Retention</w:t>
      </w:r>
    </w:p>
    <w:p>
      <w:pPr>
        <w:spacing w:after="120" w:line="300" w:lineRule="auto"/>
      </w:pPr>
      <w:r>
        <w:rPr>
          <w:rFonts w:ascii="Calibri" w:hAnsi="Calibri"/>
          <w:b w:val="0"/>
          <w:i w:val="0"/>
          <w:color w:val="1F2937"/>
          <w:sz w:val="22"/>
        </w:rPr>
        <w:t>Insert a reviewed schedule, for example: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Pr>
          <w:p>
            <w:pPr>
              <w:spacing w:after="0"/>
            </w:pPr>
            <w:r>
              <w:rPr>
                <w:rFonts w:ascii="Calibri" w:hAnsi="Calibri"/>
                <w:b/>
                <w:i w:val="0"/>
                <w:color w:val="17365D"/>
                <w:sz w:val="18"/>
              </w:rPr>
              <w:t>Record</w:t>
            </w:r>
          </w:p>
        </w:tc>
        <w:tc>
          <w:tcPr>
            <w:tcW w:type="dxa" w:w="7160"/>
            <w:shd w:fill="E8EEF5"/>
          </w:tcPr>
          <w:p>
            <w:pPr>
              <w:spacing w:after="0"/>
            </w:pPr>
            <w:r>
              <w:rPr>
                <w:rFonts w:ascii="Calibri" w:hAnsi="Calibri"/>
                <w:b/>
                <w:i w:val="0"/>
                <w:color w:val="17365D"/>
                <w:sz w:val="18"/>
              </w:rPr>
              <w:t>Proposed rule for counsel review</w:t>
            </w:r>
          </w:p>
        </w:tc>
      </w:tr>
      <w:tr>
        <w:trPr>
          <w:cantSplit/>
        </w:trPr>
        <w:tc>
          <w:tcPr>
            <w:tcW w:type="dxa" w:w="2200"/>
          </w:tcPr>
          <w:p>
            <w:pPr>
              <w:spacing w:before="0" w:after="0" w:line="252" w:lineRule="auto"/>
            </w:pPr>
            <w:r>
              <w:rPr>
                <w:rFonts w:ascii="Calibri" w:hAnsi="Calibri"/>
                <w:b w:val="0"/>
                <w:i w:val="0"/>
                <w:color w:val="1F2937"/>
                <w:sz w:val="17"/>
              </w:rPr>
              <w:t>Active account</w:t>
            </w:r>
          </w:p>
        </w:tc>
        <w:tc>
          <w:tcPr>
            <w:tcW w:type="dxa" w:w="7160"/>
          </w:tcPr>
          <w:p>
            <w:pPr>
              <w:spacing w:before="0" w:after="0" w:line="252" w:lineRule="auto"/>
            </w:pPr>
            <w:r>
              <w:rPr>
                <w:rFonts w:ascii="Calibri" w:hAnsi="Calibri"/>
                <w:b w:val="0"/>
                <w:i w:val="0"/>
                <w:color w:val="1F2937"/>
                <w:sz w:val="17"/>
              </w:rPr>
              <w:t>Duration of account plus legal/operational period</w:t>
            </w:r>
          </w:p>
        </w:tc>
      </w:tr>
      <w:tr>
        <w:trPr>
          <w:cantSplit/>
        </w:trPr>
        <w:tc>
          <w:tcPr>
            <w:tcW w:type="dxa" w:w="2200"/>
            <w:shd w:fill="F7F9FB"/>
          </w:tcPr>
          <w:p>
            <w:pPr>
              <w:spacing w:before="0" w:after="0" w:line="252" w:lineRule="auto"/>
            </w:pPr>
            <w:r>
              <w:rPr>
                <w:rFonts w:ascii="Calibri" w:hAnsi="Calibri"/>
                <w:b w:val="0"/>
                <w:i w:val="0"/>
                <w:color w:val="1F2937"/>
                <w:sz w:val="17"/>
              </w:rPr>
              <w:t>Listing/version/review/audit</w:t>
            </w:r>
          </w:p>
        </w:tc>
        <w:tc>
          <w:tcPr>
            <w:tcW w:type="dxa" w:w="7160"/>
            <w:shd w:fill="F7F9FB"/>
          </w:tcPr>
          <w:p>
            <w:pPr>
              <w:spacing w:before="0" w:after="0" w:line="252" w:lineRule="auto"/>
            </w:pPr>
            <w:r>
              <w:rPr>
                <w:rFonts w:ascii="Calibri" w:hAnsi="Calibri"/>
                <w:b w:val="0"/>
                <w:i w:val="0"/>
                <w:color w:val="1F2937"/>
                <w:sz w:val="17"/>
              </w:rPr>
              <w:t>Brokerage relationship plus dispute/regulatory period</w:t>
            </w:r>
          </w:p>
        </w:tc>
      </w:tr>
      <w:tr>
        <w:trPr>
          <w:cantSplit/>
        </w:trPr>
        <w:tc>
          <w:tcPr>
            <w:tcW w:type="dxa" w:w="2200"/>
          </w:tcPr>
          <w:p>
            <w:pPr>
              <w:spacing w:before="0" w:after="0" w:line="252" w:lineRule="auto"/>
            </w:pPr>
            <w:r>
              <w:rPr>
                <w:rFonts w:ascii="Calibri" w:hAnsi="Calibri"/>
                <w:b w:val="0"/>
                <w:i w:val="0"/>
                <w:color w:val="1F2937"/>
                <w:sz w:val="17"/>
              </w:rPr>
              <w:t>Inquiry</w:t>
            </w:r>
          </w:p>
        </w:tc>
        <w:tc>
          <w:tcPr>
            <w:tcW w:type="dxa" w:w="7160"/>
          </w:tcPr>
          <w:p>
            <w:pPr>
              <w:spacing w:before="0" w:after="0" w:line="252" w:lineRule="auto"/>
            </w:pPr>
            <w:r>
              <w:rPr>
                <w:rFonts w:ascii="Calibri" w:hAnsi="Calibri"/>
                <w:b w:val="0"/>
                <w:i w:val="0"/>
                <w:color w:val="1F2937"/>
                <w:sz w:val="17"/>
              </w:rPr>
              <w:t>Response/business need plus privacy limit</w:t>
            </w:r>
          </w:p>
        </w:tc>
      </w:tr>
      <w:tr>
        <w:trPr>
          <w:cantSplit/>
        </w:trPr>
        <w:tc>
          <w:tcPr>
            <w:tcW w:type="dxa" w:w="2200"/>
            <w:shd w:fill="F7F9FB"/>
          </w:tcPr>
          <w:p>
            <w:pPr>
              <w:spacing w:before="0" w:after="0" w:line="252" w:lineRule="auto"/>
            </w:pPr>
            <w:r>
              <w:rPr>
                <w:rFonts w:ascii="Calibri" w:hAnsi="Calibri"/>
                <w:b w:val="0"/>
                <w:i w:val="0"/>
                <w:color w:val="1F2937"/>
                <w:sz w:val="17"/>
              </w:rPr>
              <w:t>Billing</w:t>
            </w:r>
          </w:p>
        </w:tc>
        <w:tc>
          <w:tcPr>
            <w:tcW w:type="dxa" w:w="7160"/>
            <w:shd w:fill="F7F9FB"/>
          </w:tcPr>
          <w:p>
            <w:pPr>
              <w:spacing w:before="0" w:after="0" w:line="252" w:lineRule="auto"/>
            </w:pPr>
            <w:r>
              <w:rPr>
                <w:rFonts w:ascii="Calibri" w:hAnsi="Calibri"/>
                <w:b w:val="0"/>
                <w:i w:val="0"/>
                <w:color w:val="1F2937"/>
                <w:sz w:val="17"/>
              </w:rPr>
              <w:t>Statutory tax/accounting period</w:t>
            </w:r>
          </w:p>
        </w:tc>
      </w:tr>
      <w:tr>
        <w:trPr>
          <w:cantSplit/>
        </w:trPr>
        <w:tc>
          <w:tcPr>
            <w:tcW w:type="dxa" w:w="2200"/>
          </w:tcPr>
          <w:p>
            <w:pPr>
              <w:spacing w:before="0" w:after="0" w:line="252" w:lineRule="auto"/>
            </w:pPr>
            <w:r>
              <w:rPr>
                <w:rFonts w:ascii="Calibri" w:hAnsi="Calibri"/>
                <w:b w:val="0"/>
                <w:i w:val="0"/>
                <w:color w:val="1F2937"/>
                <w:sz w:val="17"/>
              </w:rPr>
              <w:t>Security logs</w:t>
            </w:r>
          </w:p>
        </w:tc>
        <w:tc>
          <w:tcPr>
            <w:tcW w:type="dxa" w:w="7160"/>
          </w:tcPr>
          <w:p>
            <w:pPr>
              <w:spacing w:before="0" w:after="0" w:line="252" w:lineRule="auto"/>
            </w:pPr>
            <w:r>
              <w:rPr>
                <w:rFonts w:ascii="Calibri" w:hAnsi="Calibri"/>
                <w:b w:val="0"/>
                <w:i w:val="0"/>
                <w:color w:val="1F2937"/>
                <w:sz w:val="17"/>
              </w:rPr>
              <w:t>Short defined period unless incident hold</w:t>
            </w:r>
          </w:p>
        </w:tc>
      </w:tr>
      <w:tr>
        <w:trPr>
          <w:cantSplit/>
        </w:trPr>
        <w:tc>
          <w:tcPr>
            <w:tcW w:type="dxa" w:w="2200"/>
            <w:shd w:fill="F7F9FB"/>
          </w:tcPr>
          <w:p>
            <w:pPr>
              <w:spacing w:before="0" w:after="0" w:line="252" w:lineRule="auto"/>
            </w:pPr>
            <w:r>
              <w:rPr>
                <w:rFonts w:ascii="Calibri" w:hAnsi="Calibri"/>
                <w:b w:val="0"/>
                <w:i w:val="0"/>
                <w:color w:val="1F2937"/>
                <w:sz w:val="17"/>
              </w:rPr>
              <w:t>Backups</w:t>
            </w:r>
          </w:p>
        </w:tc>
        <w:tc>
          <w:tcPr>
            <w:tcW w:type="dxa" w:w="7160"/>
            <w:shd w:fill="F7F9FB"/>
          </w:tcPr>
          <w:p>
            <w:pPr>
              <w:spacing w:before="0" w:after="0" w:line="252" w:lineRule="auto"/>
            </w:pPr>
            <w:r>
              <w:rPr>
                <w:rFonts w:ascii="Calibri" w:hAnsi="Calibri"/>
                <w:b w:val="0"/>
                <w:i w:val="0"/>
                <w:color w:val="1F2937"/>
                <w:sz w:val="17"/>
              </w:rPr>
              <w:t>Provider retention cycle, then expiry</w:t>
            </w:r>
          </w:p>
        </w:tc>
      </w:tr>
    </w:tbl>
    <w:p>
      <w:pPr>
        <w:spacing w:after="0"/>
      </w:pPr>
    </w:p>
    <w:p>
      <w:pPr>
        <w:spacing w:after="120" w:line="300" w:lineRule="auto"/>
      </w:pPr>
      <w:r>
        <w:rPr>
          <w:rFonts w:ascii="Calibri" w:hAnsi="Calibri"/>
          <w:b w:val="0"/>
          <w:i w:val="0"/>
          <w:color w:val="1F2937"/>
          <w:sz w:val="22"/>
        </w:rPr>
        <w:t>Retention must be purpose-based; “keep forever” is not acceptable. Legal hold is documented and scoped.</w:t>
      </w:r>
    </w:p>
    <w:p>
      <w:pPr>
        <w:pStyle w:val="Heading2"/>
      </w:pPr>
      <w:r>
        <w:t>6.9 Rights</w:t>
      </w:r>
    </w:p>
    <w:p>
      <w:pPr>
        <w:spacing w:after="120" w:line="300" w:lineRule="auto"/>
      </w:pPr>
      <w:r>
        <w:rPr>
          <w:rFonts w:ascii="Calibri" w:hAnsi="Calibri"/>
          <w:b w:val="0"/>
          <w:i w:val="0"/>
          <w:color w:val="1F2937"/>
          <w:sz w:val="22"/>
        </w:rPr>
        <w:t>Describe applicable rights to access, correction, objection/restriction, deletion where available, complaint and any automated-decision protections. Provide a verified request channel, response process and OIC complaint information. Clarify when a Brokerage controls the data and SteadFast assists it.</w:t>
      </w:r>
    </w:p>
    <w:p>
      <w:pPr>
        <w:pStyle w:val="Heading2"/>
      </w:pPr>
      <w:r>
        <w:t>6.10 Cookies and analytics</w:t>
      </w:r>
    </w:p>
    <w:p>
      <w:pPr>
        <w:spacing w:after="120" w:line="300" w:lineRule="auto"/>
      </w:pPr>
      <w:r>
        <w:rPr>
          <w:rFonts w:ascii="Calibri" w:hAnsi="Calibri"/>
          <w:b w:val="0"/>
          <w:i w:val="0"/>
          <w:color w:val="1F2937"/>
          <w:sz w:val="22"/>
        </w:rPr>
        <w:t>Use necessary session/security cookies without optional tracking consent only where lawful. List optional analytics/marketing tools, purposes, lifespan and choice mechanism before enabling them.</w:t>
      </w:r>
    </w:p>
    <w:p>
      <w:pPr>
        <w:pStyle w:val="Heading2"/>
      </w:pPr>
      <w:r>
        <w:t>6.11 Security and incidents</w:t>
      </w:r>
    </w:p>
    <w:p>
      <w:pPr>
        <w:spacing w:after="120" w:line="300" w:lineRule="auto"/>
      </w:pPr>
      <w:r>
        <w:rPr>
          <w:rFonts w:ascii="Calibri" w:hAnsi="Calibri"/>
          <w:b w:val="0"/>
          <w:i w:val="0"/>
          <w:color w:val="1F2937"/>
          <w:sz w:val="22"/>
        </w:rPr>
        <w:t>Describe measures at a responsible level without promising impossibility: access controls, encryption in transit, tenant isolation, audit, monitoring, secure development, backups and incident response. Provide a reporting contact. Do not disclose operational detail that increases attack risk.</w:t>
      </w:r>
    </w:p>
    <w:p>
      <w:pPr>
        <w:pStyle w:val="Heading2"/>
      </w:pPr>
      <w:r>
        <w:t>6.12 Children and changes</w:t>
      </w:r>
    </w:p>
    <w:p>
      <w:pPr>
        <w:spacing w:after="120" w:line="300" w:lineRule="auto"/>
      </w:pPr>
      <w:r>
        <w:rPr>
          <w:rFonts w:ascii="Calibri" w:hAnsi="Calibri"/>
          <w:b w:val="0"/>
          <w:i w:val="0"/>
          <w:color w:val="1F2937"/>
          <w:sz w:val="22"/>
        </w:rPr>
        <w:t>Set the minimum age and parental approach. State effective date, material-change notice method and archived versions.</w:t>
      </w:r>
    </w:p>
    <w:p>
      <w:pPr>
        <w:pStyle w:val="Heading1"/>
      </w:pPr>
      <w:r>
        <w:t>7. Acceptable Use Policy</w:t>
      </w:r>
    </w:p>
    <w:p>
      <w:pPr>
        <w:spacing w:after="120" w:line="300" w:lineRule="auto"/>
      </w:pPr>
      <w:r>
        <w:rPr>
          <w:rFonts w:ascii="Calibri" w:hAnsi="Calibri"/>
          <w:b w:val="0"/>
          <w:i w:val="0"/>
          <w:color w:val="1F2937"/>
          <w:sz w:val="22"/>
        </w:rPr>
        <w:t>Users must not:</w:t>
      </w:r>
    </w:p>
    <w:p>
      <w:pPr>
        <w:pStyle w:val="ListBullet"/>
        <w:ind w:left="540" w:hanging="271"/>
      </w:pPr>
      <w:r>
        <w:rPr>
          <w:rFonts w:ascii="Calibri" w:hAnsi="Calibri"/>
          <w:b w:val="0"/>
          <w:i w:val="0"/>
          <w:color w:val="1F2937"/>
          <w:sz w:val="22"/>
        </w:rPr>
        <w:t>submit content without listing, image, privacy or intellectual-property authority;</w:t>
      </w:r>
    </w:p>
    <w:p>
      <w:pPr>
        <w:pStyle w:val="ListBullet"/>
        <w:ind w:left="540" w:hanging="271"/>
      </w:pPr>
      <w:r>
        <w:rPr>
          <w:rFonts w:ascii="Calibri" w:hAnsi="Calibri"/>
          <w:b w:val="0"/>
          <w:i w:val="0"/>
          <w:color w:val="1F2937"/>
          <w:sz w:val="22"/>
        </w:rPr>
        <w:t>provide false, misleading, discriminatory, illegal or materially outdated information;</w:t>
      </w:r>
    </w:p>
    <w:p>
      <w:pPr>
        <w:pStyle w:val="ListBullet"/>
        <w:ind w:left="540" w:hanging="271"/>
      </w:pPr>
      <w:r>
        <w:rPr>
          <w:rFonts w:ascii="Calibri" w:hAnsi="Calibri"/>
          <w:b w:val="0"/>
          <w:i w:val="0"/>
          <w:color w:val="1F2937"/>
          <w:sz w:val="22"/>
        </w:rPr>
        <w:t>impersonate a person or misrepresent licence, brokerage or property status;</w:t>
      </w:r>
    </w:p>
    <w:p>
      <w:pPr>
        <w:pStyle w:val="ListBullet"/>
        <w:ind w:left="540" w:hanging="271"/>
      </w:pPr>
      <w:r>
        <w:rPr>
          <w:rFonts w:ascii="Calibri" w:hAnsi="Calibri"/>
          <w:b w:val="0"/>
          <w:i w:val="0"/>
          <w:color w:val="1F2937"/>
          <w:sz w:val="22"/>
        </w:rPr>
        <w:t>bypass approval, tenant isolation, access, rate limits or audit controls;</w:t>
      </w:r>
    </w:p>
    <w:p>
      <w:pPr>
        <w:pStyle w:val="ListBullet"/>
        <w:ind w:left="540" w:hanging="271"/>
      </w:pPr>
      <w:r>
        <w:rPr>
          <w:rFonts w:ascii="Calibri" w:hAnsi="Calibri"/>
          <w:b w:val="0"/>
          <w:i w:val="0"/>
          <w:color w:val="1F2937"/>
          <w:sz w:val="22"/>
        </w:rPr>
        <w:t>share accounts, credentials or invitation links;</w:t>
      </w:r>
    </w:p>
    <w:p>
      <w:pPr>
        <w:pStyle w:val="ListBullet"/>
        <w:ind w:left="540" w:hanging="271"/>
      </w:pPr>
      <w:r>
        <w:rPr>
          <w:rFonts w:ascii="Calibri" w:hAnsi="Calibri"/>
          <w:b w:val="0"/>
          <w:i w:val="0"/>
          <w:color w:val="1F2937"/>
          <w:sz w:val="22"/>
        </w:rPr>
        <w:t>scrape, bulk harvest or resell data except under written agreement;</w:t>
      </w:r>
    </w:p>
    <w:p>
      <w:pPr>
        <w:pStyle w:val="ListBullet"/>
        <w:ind w:left="540" w:hanging="271"/>
      </w:pPr>
      <w:r>
        <w:rPr>
          <w:rFonts w:ascii="Calibri" w:hAnsi="Calibri"/>
          <w:b w:val="0"/>
          <w:i w:val="0"/>
          <w:color w:val="1F2937"/>
          <w:sz w:val="22"/>
        </w:rPr>
        <w:t>upload malware, active content, illegal material or files designed to exhaust resources;</w:t>
      </w:r>
    </w:p>
    <w:p>
      <w:pPr>
        <w:pStyle w:val="ListBullet"/>
        <w:ind w:left="540" w:hanging="271"/>
      </w:pPr>
      <w:r>
        <w:rPr>
          <w:rFonts w:ascii="Calibri" w:hAnsi="Calibri"/>
          <w:b w:val="0"/>
          <w:i w:val="0"/>
          <w:color w:val="1F2937"/>
          <w:sz w:val="22"/>
        </w:rPr>
        <w:t>probe, exploit or disclose vulnerabilities outside the security-reporting process;</w:t>
      </w:r>
    </w:p>
    <w:p>
      <w:pPr>
        <w:pStyle w:val="ListBullet"/>
        <w:ind w:left="540" w:hanging="271"/>
      </w:pPr>
      <w:r>
        <w:rPr>
          <w:rFonts w:ascii="Calibri" w:hAnsi="Calibri"/>
          <w:b w:val="0"/>
          <w:i w:val="0"/>
          <w:color w:val="1F2937"/>
          <w:sz w:val="22"/>
        </w:rPr>
        <w:t>send spam, harassment or unlawful marketing through inquiries;</w:t>
      </w:r>
    </w:p>
    <w:p>
      <w:pPr>
        <w:pStyle w:val="ListBullet"/>
        <w:ind w:left="540" w:hanging="271"/>
      </w:pPr>
      <w:r>
        <w:rPr>
          <w:rFonts w:ascii="Calibri" w:hAnsi="Calibri"/>
          <w:b w:val="0"/>
          <w:i w:val="0"/>
          <w:color w:val="1F2937"/>
          <w:sz w:val="22"/>
        </w:rPr>
        <w:t>reverse engineer or interfere with the service except where law cannot prohibit it;</w:t>
      </w:r>
    </w:p>
    <w:p>
      <w:pPr>
        <w:pStyle w:val="ListBullet"/>
        <w:ind w:left="540" w:hanging="271"/>
      </w:pPr>
      <w:r>
        <w:rPr>
          <w:rFonts w:ascii="Calibri" w:hAnsi="Calibri"/>
          <w:b w:val="0"/>
          <w:i w:val="0"/>
          <w:color w:val="1F2937"/>
          <w:sz w:val="22"/>
        </w:rPr>
        <w:t>use the platform for trust accounting, unlawful financial activity or excluded transaction services;</w:t>
      </w:r>
    </w:p>
    <w:p>
      <w:pPr>
        <w:pStyle w:val="ListBullet"/>
        <w:ind w:left="540" w:hanging="271"/>
      </w:pPr>
      <w:r>
        <w:rPr>
          <w:rFonts w:ascii="Calibri" w:hAnsi="Calibri"/>
          <w:b w:val="0"/>
          <w:i w:val="0"/>
          <w:color w:val="1F2937"/>
          <w:sz w:val="22"/>
        </w:rPr>
        <w:t>claim external syndication or SteadFast/partner endorsement that does not exist.</w:t>
      </w:r>
    </w:p>
    <w:p>
      <w:pPr>
        <w:spacing w:after="120" w:line="300" w:lineRule="auto"/>
      </w:pPr>
      <w:r>
        <w:rPr>
          <w:rFonts w:ascii="Calibri" w:hAnsi="Calibri"/>
          <w:b w:val="0"/>
          <w:i w:val="0"/>
          <w:color w:val="1F2937"/>
          <w:sz w:val="22"/>
        </w:rPr>
        <w:t>Enforcement should be proportionate, documented and appealable where appropriate. Security containment may be immediate. Brokerage-content disputes route to the Brokerage; SteadFast handles platform, security, legal and account issues within its authority.</w:t>
      </w:r>
    </w:p>
    <w:p>
      <w:pPr>
        <w:pStyle w:val="Heading1"/>
      </w:pPr>
      <w:r>
        <w:t>8. Brokerage Responsibilities Schedule</w:t>
      </w:r>
    </w:p>
    <w:p>
      <w:pPr>
        <w:spacing w:after="120" w:line="300" w:lineRule="auto"/>
      </w:pPr>
      <w:r>
        <w:rPr>
          <w:rFonts w:ascii="Calibri" w:hAnsi="Calibri"/>
          <w:b w:val="0"/>
          <w:i w:val="0"/>
          <w:color w:val="1F2937"/>
          <w:sz w:val="22"/>
        </w:rPr>
        <w:t>The Brokerage is responsible for:</w:t>
      </w:r>
    </w:p>
    <w:p>
      <w:pPr>
        <w:pStyle w:val="ListNumber"/>
        <w:ind w:left="540" w:hanging="271"/>
      </w:pPr>
      <w:r>
        <w:rPr>
          <w:rFonts w:ascii="Calibri" w:hAnsi="Calibri"/>
          <w:b/>
          <w:i w:val="0"/>
          <w:color w:val="1F2937"/>
          <w:sz w:val="22"/>
        </w:rPr>
        <w:t>People:</w:t>
      </w:r>
      <w:r>
        <w:rPr>
          <w:rFonts w:ascii="Calibri" w:hAnsi="Calibri"/>
          <w:b w:val="0"/>
          <w:i w:val="0"/>
          <w:color w:val="1F2937"/>
          <w:sz w:val="22"/>
        </w:rPr>
        <w:t xml:space="preserve"> Verify licence/eligibility, approve personnel, assign least privilege, review access and promptly process departure.</w:t>
      </w:r>
    </w:p>
    <w:p>
      <w:pPr>
        <w:pStyle w:val="ListNumber"/>
        <w:ind w:left="540" w:hanging="271"/>
      </w:pPr>
      <w:r>
        <w:rPr>
          <w:rFonts w:ascii="Calibri" w:hAnsi="Calibri"/>
          <w:b/>
          <w:i w:val="0"/>
          <w:color w:val="1F2937"/>
          <w:sz w:val="22"/>
        </w:rPr>
        <w:t>Listings:</w:t>
      </w:r>
      <w:r>
        <w:rPr>
          <w:rFonts w:ascii="Calibri" w:hAnsi="Calibri"/>
          <w:b w:val="0"/>
          <w:i w:val="0"/>
          <w:color w:val="1F2937"/>
          <w:sz w:val="22"/>
        </w:rPr>
        <w:t xml:space="preserve"> Confirm authority, facts, documents, required disclosures, representative and approval.</w:t>
      </w:r>
    </w:p>
    <w:p>
      <w:pPr>
        <w:pStyle w:val="ListNumber"/>
        <w:ind w:left="540" w:hanging="271"/>
      </w:pPr>
      <w:r>
        <w:rPr>
          <w:rFonts w:ascii="Calibri" w:hAnsi="Calibri"/>
          <w:b/>
          <w:i w:val="0"/>
          <w:color w:val="1F2937"/>
          <w:sz w:val="22"/>
        </w:rPr>
        <w:t>Advertising:</w:t>
      </w:r>
      <w:r>
        <w:rPr>
          <w:rFonts w:ascii="Calibri" w:hAnsi="Calibri"/>
          <w:b w:val="0"/>
          <w:i w:val="0"/>
          <w:color w:val="1F2937"/>
          <w:sz w:val="22"/>
        </w:rPr>
        <w:t xml:space="preserve"> Ensure required dealer name/address/licence and other legally required information appear in advertisements; approve shared-display policy.</w:t>
      </w:r>
    </w:p>
    <w:p>
      <w:pPr>
        <w:pStyle w:val="ListNumber"/>
        <w:ind w:left="540" w:hanging="271"/>
      </w:pPr>
      <w:r>
        <w:rPr>
          <w:rFonts w:ascii="Calibri" w:hAnsi="Calibri"/>
          <w:b/>
          <w:i w:val="0"/>
          <w:color w:val="1F2937"/>
          <w:sz w:val="22"/>
        </w:rPr>
        <w:t>Inquiries:</w:t>
      </w:r>
      <w:r>
        <w:rPr>
          <w:rFonts w:ascii="Calibri" w:hAnsi="Calibri"/>
          <w:b w:val="0"/>
          <w:i w:val="0"/>
          <w:color w:val="1F2937"/>
          <w:sz w:val="22"/>
        </w:rPr>
        <w:t xml:space="preserve"> Monitor routing, respond appropriately, protect contact information and comply with marketing rules.</w:t>
      </w:r>
    </w:p>
    <w:p>
      <w:pPr>
        <w:pStyle w:val="ListNumber"/>
        <w:ind w:left="540" w:hanging="271"/>
      </w:pPr>
      <w:r>
        <w:rPr>
          <w:rFonts w:ascii="Calibri" w:hAnsi="Calibri"/>
          <w:b/>
          <w:i w:val="0"/>
          <w:color w:val="1F2937"/>
          <w:sz w:val="22"/>
        </w:rPr>
        <w:t>Disputes:</w:t>
      </w:r>
      <w:r>
        <w:rPr>
          <w:rFonts w:ascii="Calibri" w:hAnsi="Calibri"/>
          <w:b w:val="0"/>
          <w:i w:val="0"/>
          <w:color w:val="1F2937"/>
          <w:sz w:val="22"/>
        </w:rPr>
        <w:t xml:space="preserve"> Handle property, seller, buyer, landlord, tenant, agent and listing-content disputes.</w:t>
      </w:r>
    </w:p>
    <w:p>
      <w:pPr>
        <w:pStyle w:val="ListNumber"/>
        <w:ind w:left="540" w:hanging="271"/>
      </w:pPr>
      <w:r>
        <w:rPr>
          <w:rFonts w:ascii="Calibri" w:hAnsi="Calibri"/>
          <w:b/>
          <w:i w:val="0"/>
          <w:color w:val="1F2937"/>
          <w:sz w:val="22"/>
        </w:rPr>
        <w:t>Privacy:</w:t>
      </w:r>
      <w:r>
        <w:rPr>
          <w:rFonts w:ascii="Calibri" w:hAnsi="Calibri"/>
          <w:b w:val="0"/>
          <w:i w:val="0"/>
          <w:color w:val="1F2937"/>
          <w:sz w:val="22"/>
        </w:rPr>
        <w:t xml:space="preserve"> Give notices to personnel/contacts, submit only necessary data, handle requests where it is controller and notify SteadFast of incidents.</w:t>
      </w:r>
    </w:p>
    <w:p>
      <w:pPr>
        <w:pStyle w:val="ListNumber"/>
        <w:ind w:left="540" w:hanging="271"/>
      </w:pPr>
      <w:r>
        <w:rPr>
          <w:rFonts w:ascii="Calibri" w:hAnsi="Calibri"/>
          <w:b/>
          <w:i w:val="0"/>
          <w:color w:val="1F2937"/>
          <w:sz w:val="22"/>
        </w:rPr>
        <w:t>Security:</w:t>
      </w:r>
      <w:r>
        <w:rPr>
          <w:rFonts w:ascii="Calibri" w:hAnsi="Calibri"/>
          <w:b w:val="0"/>
          <w:i w:val="0"/>
          <w:color w:val="1F2937"/>
          <w:sz w:val="22"/>
        </w:rPr>
        <w:t xml:space="preserve"> Use individual accounts, MFA where required, secure devices and report compromise.</w:t>
      </w:r>
    </w:p>
    <w:p>
      <w:pPr>
        <w:pStyle w:val="ListNumber"/>
        <w:ind w:left="540" w:hanging="271"/>
      </w:pPr>
      <w:r>
        <w:rPr>
          <w:rFonts w:ascii="Calibri" w:hAnsi="Calibri"/>
          <w:b/>
          <w:i w:val="0"/>
          <w:color w:val="1F2937"/>
          <w:sz w:val="22"/>
        </w:rPr>
        <w:t>Billing:</w:t>
      </w:r>
      <w:r>
        <w:rPr>
          <w:rFonts w:ascii="Calibri" w:hAnsi="Calibri"/>
          <w:b w:val="0"/>
          <w:i w:val="0"/>
          <w:color w:val="1F2937"/>
          <w:sz w:val="22"/>
        </w:rPr>
        <w:t xml:space="preserve"> Maintain seats, invoice details and payment.</w:t>
      </w:r>
    </w:p>
    <w:p>
      <w:pPr>
        <w:pStyle w:val="ListNumber"/>
        <w:ind w:left="540" w:hanging="271"/>
      </w:pPr>
      <w:r>
        <w:rPr>
          <w:rFonts w:ascii="Calibri" w:hAnsi="Calibri"/>
          <w:b/>
          <w:i w:val="0"/>
          <w:color w:val="1F2937"/>
          <w:sz w:val="22"/>
        </w:rPr>
        <w:t>External channels:</w:t>
      </w:r>
      <w:r>
        <w:rPr>
          <w:rFonts w:ascii="Calibri" w:hAnsi="Calibri"/>
          <w:b w:val="0"/>
          <w:i w:val="0"/>
          <w:color w:val="1F2937"/>
          <w:sz w:val="22"/>
        </w:rPr>
        <w:t xml:space="preserve"> Authorize distribution only where rights, plan and channel terms permit.</w:t>
      </w:r>
    </w:p>
    <w:p>
      <w:pPr>
        <w:pStyle w:val="ListNumber"/>
        <w:ind w:left="540" w:hanging="271"/>
      </w:pPr>
      <w:r>
        <w:rPr>
          <w:rFonts w:ascii="Calibri" w:hAnsi="Calibri"/>
          <w:b/>
          <w:i w:val="0"/>
          <w:color w:val="1F2937"/>
          <w:sz w:val="22"/>
        </w:rPr>
        <w:t>Records:</w:t>
      </w:r>
      <w:r>
        <w:rPr>
          <w:rFonts w:ascii="Calibri" w:hAnsi="Calibri"/>
          <w:b w:val="0"/>
          <w:i w:val="0"/>
          <w:color w:val="1F2937"/>
          <w:sz w:val="22"/>
        </w:rPr>
        <w:t xml:space="preserve"> Preserve off-platform documents the Brokerage is legally required to keep; SteadFast is not the Brokerage's complete regulatory archive unless expressly contracted.</w:t>
      </w:r>
    </w:p>
    <w:p>
      <w:pPr>
        <w:pStyle w:val="Heading1"/>
      </w:pPr>
      <w:r>
        <w:t>9. Listing Content Authorization and Submission Attestation</w:t>
      </w:r>
    </w:p>
    <w:p>
      <w:pPr>
        <w:spacing w:after="120" w:line="300" w:lineRule="auto"/>
      </w:pPr>
      <w:r>
        <w:rPr>
          <w:rFonts w:ascii="Calibri" w:hAnsi="Calibri"/>
          <w:b w:val="0"/>
          <w:i w:val="0"/>
          <w:color w:val="1F2937"/>
          <w:sz w:val="22"/>
        </w:rPr>
        <w:t>Use the following attestation at listing submission, with version, timestamp, actor and Brokerage recorded:</w:t>
      </w:r>
    </w:p>
    <w:p>
      <w:pPr>
        <w:spacing w:before="80" w:after="160"/>
        <w:ind w:left="360" w:right="288"/>
      </w:pPr>
      <w:r>
        <w:rPr>
          <w:rFonts w:ascii="Calibri" w:hAnsi="Calibri"/>
          <w:b w:val="0"/>
          <w:i/>
          <w:color w:val="17365D"/>
          <w:sz w:val="21"/>
        </w:rPr>
        <w:t>I confirm that I am authorized by my Brokerage to submit this listing; the Brokerage has or will verify the authority to advertise the property; the information and media are accurate to the best of my knowledge and do not unlawfully disclose personal information; the necessary rights and permissions exist for SteadFast to host, format, display and deliver the content to destinations authorized by the Brokerage; and I understand that initial publication and material changes require Brokerage approval.</w:t>
      </w:r>
    </w:p>
    <w:p>
      <w:pPr>
        <w:spacing w:after="120" w:line="300" w:lineRule="auto"/>
      </w:pPr>
      <w:r>
        <w:rPr>
          <w:rFonts w:ascii="Calibri" w:hAnsi="Calibri"/>
          <w:b w:val="0"/>
          <w:i w:val="0"/>
          <w:color w:val="1F2937"/>
          <w:sz w:val="22"/>
        </w:rPr>
        <w:t>At approval, the reviewer confirms:</w:t>
      </w:r>
    </w:p>
    <w:p>
      <w:pPr>
        <w:spacing w:before="80" w:after="160"/>
        <w:ind w:left="360" w:right="288"/>
      </w:pPr>
      <w:r>
        <w:rPr>
          <w:rFonts w:ascii="Calibri" w:hAnsi="Calibri"/>
          <w:b w:val="0"/>
          <w:i/>
          <w:color w:val="17365D"/>
          <w:sz w:val="21"/>
        </w:rPr>
        <w:t>Acting for the Brokerage, I approve this identified version for the selected visibility and distribution. I have reviewed the changes and required advertising information, confirmed an active representative, and understand that the decision and any self-approval are recorded in the audit history.</w:t>
      </w:r>
    </w:p>
    <w:p>
      <w:pPr>
        <w:spacing w:after="120" w:line="300" w:lineRule="auto"/>
      </w:pPr>
      <w:r>
        <w:rPr>
          <w:rFonts w:ascii="Calibri" w:hAnsi="Calibri"/>
          <w:b w:val="0"/>
          <w:i w:val="0"/>
          <w:color w:val="1F2937"/>
          <w:sz w:val="22"/>
        </w:rPr>
        <w:t>For display sharing, the owner confirms permission to display; the recipient acknowledges no edit/ownership right and the ability to remove the display.</w:t>
      </w:r>
    </w:p>
    <w:p>
      <w:pPr>
        <w:pStyle w:val="Heading1"/>
      </w:pPr>
      <w:r>
        <w:t>10. Data Processing and Security Schedule</w:t>
      </w:r>
    </w:p>
    <w:p>
      <w:pPr>
        <w:spacing w:after="120" w:line="300" w:lineRule="auto"/>
      </w:pPr>
      <w:r>
        <w:rPr>
          <w:rFonts w:ascii="Calibri" w:hAnsi="Calibri"/>
          <w:b w:val="0"/>
          <w:i w:val="0"/>
          <w:color w:val="1F2937"/>
          <w:sz w:val="22"/>
        </w:rPr>
        <w:t>Counsel should complete a role matrix by processing activity: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Pr>
          <w:p>
            <w:pPr>
              <w:spacing w:after="0"/>
            </w:pPr>
            <w:r>
              <w:rPr>
                <w:rFonts w:ascii="Calibri" w:hAnsi="Calibri"/>
                <w:b/>
                <w:i w:val="0"/>
                <w:color w:val="17365D"/>
                <w:sz w:val="18"/>
              </w:rPr>
              <w:t>Activity</w:t>
            </w:r>
          </w:p>
        </w:tc>
        <w:tc>
          <w:tcPr>
            <w:tcW w:type="dxa" w:w="7160"/>
            <w:shd w:fill="E8EEF5"/>
          </w:tcPr>
          <w:p>
            <w:pPr>
              <w:spacing w:after="0"/>
            </w:pPr>
            <w:r>
              <w:rPr>
                <w:rFonts w:ascii="Calibri" w:hAnsi="Calibri"/>
                <w:b/>
                <w:i w:val="0"/>
                <w:color w:val="17365D"/>
                <w:sz w:val="18"/>
              </w:rPr>
              <w:t>Likely controller/processor question</w:t>
            </w:r>
          </w:p>
        </w:tc>
      </w:tr>
      <w:tr>
        <w:trPr>
          <w:cantSplit/>
        </w:trPr>
        <w:tc>
          <w:tcPr>
            <w:tcW w:type="dxa" w:w="2200"/>
          </w:tcPr>
          <w:p>
            <w:pPr>
              <w:spacing w:before="0" w:after="0" w:line="252" w:lineRule="auto"/>
            </w:pPr>
            <w:r>
              <w:rPr>
                <w:rFonts w:ascii="Calibri" w:hAnsi="Calibri"/>
                <w:b w:val="0"/>
                <w:i w:val="0"/>
                <w:color w:val="1F2937"/>
                <w:sz w:val="17"/>
              </w:rPr>
              <w:t>Professional account and platform security</w:t>
            </w:r>
          </w:p>
        </w:tc>
        <w:tc>
          <w:tcPr>
            <w:tcW w:type="dxa" w:w="7160"/>
          </w:tcPr>
          <w:p>
            <w:pPr>
              <w:spacing w:before="0" w:after="0" w:line="252" w:lineRule="auto"/>
            </w:pPr>
            <w:r>
              <w:rPr>
                <w:rFonts w:ascii="Calibri" w:hAnsi="Calibri"/>
                <w:b w:val="0"/>
                <w:i w:val="0"/>
                <w:color w:val="1F2937"/>
                <w:sz w:val="17"/>
              </w:rPr>
              <w:t>SteadFast may be controller for core service/security administration</w:t>
            </w:r>
          </w:p>
        </w:tc>
      </w:tr>
      <w:tr>
        <w:trPr>
          <w:cantSplit/>
        </w:trPr>
        <w:tc>
          <w:tcPr>
            <w:tcW w:type="dxa" w:w="2200"/>
            <w:shd w:fill="F7F9FB"/>
          </w:tcPr>
          <w:p>
            <w:pPr>
              <w:spacing w:before="0" w:after="0" w:line="252" w:lineRule="auto"/>
            </w:pPr>
            <w:r>
              <w:rPr>
                <w:rFonts w:ascii="Calibri" w:hAnsi="Calibri"/>
                <w:b w:val="0"/>
                <w:i w:val="0"/>
                <w:color w:val="1F2937"/>
                <w:sz w:val="17"/>
              </w:rPr>
              <w:t>Brokerage personnel management</w:t>
            </w:r>
          </w:p>
        </w:tc>
        <w:tc>
          <w:tcPr>
            <w:tcW w:type="dxa" w:w="7160"/>
            <w:shd w:fill="F7F9FB"/>
          </w:tcPr>
          <w:p>
            <w:pPr>
              <w:spacing w:before="0" w:after="0" w:line="252" w:lineRule="auto"/>
            </w:pPr>
            <w:r>
              <w:rPr>
                <w:rFonts w:ascii="Calibri" w:hAnsi="Calibri"/>
                <w:b w:val="0"/>
                <w:i w:val="0"/>
                <w:color w:val="1F2937"/>
                <w:sz w:val="17"/>
              </w:rPr>
              <w:t>Brokerage may be controller; SteadFast processor</w:t>
            </w:r>
          </w:p>
        </w:tc>
      </w:tr>
      <w:tr>
        <w:trPr>
          <w:cantSplit/>
        </w:trPr>
        <w:tc>
          <w:tcPr>
            <w:tcW w:type="dxa" w:w="2200"/>
          </w:tcPr>
          <w:p>
            <w:pPr>
              <w:spacing w:before="0" w:after="0" w:line="252" w:lineRule="auto"/>
            </w:pPr>
            <w:r>
              <w:rPr>
                <w:rFonts w:ascii="Calibri" w:hAnsi="Calibri"/>
                <w:b w:val="0"/>
                <w:i w:val="0"/>
                <w:color w:val="1F2937"/>
                <w:sz w:val="17"/>
              </w:rPr>
              <w:t>Listing publication</w:t>
            </w:r>
          </w:p>
        </w:tc>
        <w:tc>
          <w:tcPr>
            <w:tcW w:type="dxa" w:w="7160"/>
          </w:tcPr>
          <w:p>
            <w:pPr>
              <w:spacing w:before="0" w:after="0" w:line="252" w:lineRule="auto"/>
            </w:pPr>
            <w:r>
              <w:rPr>
                <w:rFonts w:ascii="Calibri" w:hAnsi="Calibri"/>
                <w:b w:val="0"/>
                <w:i w:val="0"/>
                <w:color w:val="1F2937"/>
                <w:sz w:val="17"/>
              </w:rPr>
              <w:t>Brokerage determines content/purpose; SteadFast hosts/displays</w:t>
            </w:r>
          </w:p>
        </w:tc>
      </w:tr>
      <w:tr>
        <w:trPr>
          <w:cantSplit/>
        </w:trPr>
        <w:tc>
          <w:tcPr>
            <w:tcW w:type="dxa" w:w="2200"/>
            <w:shd w:fill="F7F9FB"/>
          </w:tcPr>
          <w:p>
            <w:pPr>
              <w:spacing w:before="0" w:after="0" w:line="252" w:lineRule="auto"/>
            </w:pPr>
            <w:r>
              <w:rPr>
                <w:rFonts w:ascii="Calibri" w:hAnsi="Calibri"/>
                <w:b w:val="0"/>
                <w:i w:val="0"/>
                <w:color w:val="1F2937"/>
                <w:sz w:val="17"/>
              </w:rPr>
              <w:t>Consumer inquiry routing</w:t>
            </w:r>
          </w:p>
        </w:tc>
        <w:tc>
          <w:tcPr>
            <w:tcW w:type="dxa" w:w="7160"/>
            <w:shd w:fill="F7F9FB"/>
          </w:tcPr>
          <w:p>
            <w:pPr>
              <w:spacing w:before="0" w:after="0" w:line="252" w:lineRule="auto"/>
            </w:pPr>
            <w:r>
              <w:rPr>
                <w:rFonts w:ascii="Calibri" w:hAnsi="Calibri"/>
                <w:b w:val="0"/>
                <w:i w:val="0"/>
                <w:color w:val="1F2937"/>
                <w:sz w:val="17"/>
              </w:rPr>
              <w:t>Roles may be joint/separate depending purpose and follow-up</w:t>
            </w:r>
          </w:p>
        </w:tc>
      </w:tr>
      <w:tr>
        <w:trPr>
          <w:cantSplit/>
        </w:trPr>
        <w:tc>
          <w:tcPr>
            <w:tcW w:type="dxa" w:w="2200"/>
          </w:tcPr>
          <w:p>
            <w:pPr>
              <w:spacing w:before="0" w:after="0" w:line="252" w:lineRule="auto"/>
            </w:pPr>
            <w:r>
              <w:rPr>
                <w:rFonts w:ascii="Calibri" w:hAnsi="Calibri"/>
                <w:b w:val="0"/>
                <w:i w:val="0"/>
                <w:color w:val="1F2937"/>
                <w:sz w:val="17"/>
              </w:rPr>
              <w:t>Billing/legal records</w:t>
            </w:r>
          </w:p>
        </w:tc>
        <w:tc>
          <w:tcPr>
            <w:tcW w:type="dxa" w:w="7160"/>
          </w:tcPr>
          <w:p>
            <w:pPr>
              <w:spacing w:before="0" w:after="0" w:line="252" w:lineRule="auto"/>
            </w:pPr>
            <w:r>
              <w:rPr>
                <w:rFonts w:ascii="Calibri" w:hAnsi="Calibri"/>
                <w:b w:val="0"/>
                <w:i w:val="0"/>
                <w:color w:val="1F2937"/>
                <w:sz w:val="17"/>
              </w:rPr>
              <w:t>SteadFast controller for its subscription/legal obligations</w:t>
            </w:r>
          </w:p>
        </w:tc>
      </w:tr>
      <w:tr>
        <w:trPr>
          <w:cantSplit/>
        </w:trPr>
        <w:tc>
          <w:tcPr>
            <w:tcW w:type="dxa" w:w="2200"/>
            <w:shd w:fill="F7F9FB"/>
          </w:tcPr>
          <w:p>
            <w:pPr>
              <w:spacing w:before="0" w:after="0" w:line="252" w:lineRule="auto"/>
            </w:pPr>
            <w:r>
              <w:rPr>
                <w:rFonts w:ascii="Calibri" w:hAnsi="Calibri"/>
                <w:b w:val="0"/>
                <w:i w:val="0"/>
                <w:color w:val="1F2937"/>
                <w:sz w:val="17"/>
              </w:rPr>
              <w:t>Product analytics</w:t>
            </w:r>
          </w:p>
        </w:tc>
        <w:tc>
          <w:tcPr>
            <w:tcW w:type="dxa" w:w="7160"/>
            <w:shd w:fill="F7F9FB"/>
          </w:tcPr>
          <w:p>
            <w:pPr>
              <w:spacing w:before="0" w:after="0" w:line="252" w:lineRule="auto"/>
            </w:pPr>
            <w:r>
              <w:rPr>
                <w:rFonts w:ascii="Calibri" w:hAnsi="Calibri"/>
                <w:b w:val="0"/>
                <w:i w:val="0"/>
                <w:color w:val="1F2937"/>
                <w:sz w:val="17"/>
              </w:rPr>
              <w:t>Depends on necessity, de-identification and optional tracking</w:t>
            </w:r>
          </w:p>
        </w:tc>
      </w:tr>
    </w:tbl>
    <w:p>
      <w:pPr>
        <w:spacing w:after="0"/>
      </w:pPr>
    </w:p>
    <w:p>
      <w:pPr>
        <w:spacing w:after="120" w:line="300" w:lineRule="auto"/>
      </w:pPr>
      <w:r>
        <w:rPr>
          <w:rFonts w:ascii="Calibri" w:hAnsi="Calibri"/>
          <w:b w:val="0"/>
          <w:i w:val="0"/>
          <w:color w:val="1F2937"/>
          <w:sz w:val="22"/>
        </w:rPr>
        <w:t>The signed schedule should include:</w:t>
      </w:r>
    </w:p>
    <w:p>
      <w:pPr>
        <w:pStyle w:val="ListBullet"/>
        <w:ind w:left="540" w:hanging="271"/>
      </w:pPr>
      <w:r>
        <w:rPr>
          <w:rFonts w:ascii="Calibri" w:hAnsi="Calibri"/>
          <w:b w:val="0"/>
          <w:i w:val="0"/>
          <w:color w:val="1F2937"/>
          <w:sz w:val="22"/>
        </w:rPr>
        <w:t>subject, duration, nature, purpose, data types and persons;</w:t>
      </w:r>
    </w:p>
    <w:p>
      <w:pPr>
        <w:pStyle w:val="ListBullet"/>
        <w:ind w:left="540" w:hanging="271"/>
      </w:pPr>
      <w:r>
        <w:rPr>
          <w:rFonts w:ascii="Calibri" w:hAnsi="Calibri"/>
          <w:b w:val="0"/>
          <w:i w:val="0"/>
          <w:color w:val="1F2937"/>
          <w:sz w:val="22"/>
        </w:rPr>
        <w:t>documented instructions and confidentiality;</w:t>
      </w:r>
    </w:p>
    <w:p>
      <w:pPr>
        <w:pStyle w:val="ListBullet"/>
        <w:ind w:left="540" w:hanging="271"/>
      </w:pPr>
      <w:r>
        <w:rPr>
          <w:rFonts w:ascii="Calibri" w:hAnsi="Calibri"/>
          <w:b w:val="0"/>
          <w:i w:val="0"/>
          <w:color w:val="1F2937"/>
          <w:sz w:val="22"/>
        </w:rPr>
        <w:t>security measures and access control;</w:t>
      </w:r>
    </w:p>
    <w:p>
      <w:pPr>
        <w:pStyle w:val="ListBullet"/>
        <w:ind w:left="540" w:hanging="271"/>
      </w:pPr>
      <w:r>
        <w:rPr>
          <w:rFonts w:ascii="Calibri" w:hAnsi="Calibri"/>
          <w:b w:val="0"/>
          <w:i w:val="0"/>
          <w:color w:val="1F2937"/>
          <w:sz w:val="22"/>
        </w:rPr>
        <w:t>subprocessors and change notice;</w:t>
      </w:r>
    </w:p>
    <w:p>
      <w:pPr>
        <w:pStyle w:val="ListBullet"/>
        <w:ind w:left="540" w:hanging="271"/>
      </w:pPr>
      <w:r>
        <w:rPr>
          <w:rFonts w:ascii="Calibri" w:hAnsi="Calibri"/>
          <w:b w:val="0"/>
          <w:i w:val="0"/>
          <w:color w:val="1F2937"/>
          <w:sz w:val="22"/>
        </w:rPr>
        <w:t>international transfer safeguards;</w:t>
      </w:r>
    </w:p>
    <w:p>
      <w:pPr>
        <w:pStyle w:val="ListBullet"/>
        <w:ind w:left="540" w:hanging="271"/>
      </w:pPr>
      <w:r>
        <w:rPr>
          <w:rFonts w:ascii="Calibri" w:hAnsi="Calibri"/>
          <w:b w:val="0"/>
          <w:i w:val="0"/>
          <w:color w:val="1F2937"/>
          <w:sz w:val="22"/>
        </w:rPr>
        <w:t>data-subject request assistance;</w:t>
      </w:r>
    </w:p>
    <w:p>
      <w:pPr>
        <w:pStyle w:val="ListBullet"/>
        <w:ind w:left="540" w:hanging="271"/>
      </w:pPr>
      <w:r>
        <w:rPr>
          <w:rFonts w:ascii="Calibri" w:hAnsi="Calibri"/>
          <w:b w:val="0"/>
          <w:i w:val="0"/>
          <w:color w:val="1F2937"/>
          <w:sz w:val="22"/>
        </w:rPr>
        <w:t>incident notice/cooperation;</w:t>
      </w:r>
    </w:p>
    <w:p>
      <w:pPr>
        <w:pStyle w:val="ListBullet"/>
        <w:ind w:left="540" w:hanging="271"/>
      </w:pPr>
      <w:r>
        <w:rPr>
          <w:rFonts w:ascii="Calibri" w:hAnsi="Calibri"/>
          <w:b w:val="0"/>
          <w:i w:val="0"/>
          <w:color w:val="1F2937"/>
          <w:sz w:val="22"/>
        </w:rPr>
        <w:t>DPIA/regulator assistance;</w:t>
      </w:r>
    </w:p>
    <w:p>
      <w:pPr>
        <w:pStyle w:val="ListBullet"/>
        <w:ind w:left="540" w:hanging="271"/>
      </w:pPr>
      <w:r>
        <w:rPr>
          <w:rFonts w:ascii="Calibri" w:hAnsi="Calibri"/>
          <w:b w:val="0"/>
          <w:i w:val="0"/>
          <w:color w:val="1F2937"/>
          <w:sz w:val="22"/>
        </w:rPr>
        <w:t>deletion/return and audit rights;</w:t>
      </w:r>
    </w:p>
    <w:p>
      <w:pPr>
        <w:pStyle w:val="ListBullet"/>
        <w:ind w:left="540" w:hanging="271"/>
      </w:pPr>
      <w:r>
        <w:rPr>
          <w:rFonts w:ascii="Calibri" w:hAnsi="Calibri"/>
          <w:b w:val="0"/>
          <w:i w:val="0"/>
          <w:color w:val="1F2937"/>
          <w:sz w:val="22"/>
        </w:rPr>
        <w:t>allocation of controller duties;</w:t>
      </w:r>
    </w:p>
    <w:p>
      <w:pPr>
        <w:pStyle w:val="ListBullet"/>
        <w:ind w:left="540" w:hanging="271"/>
      </w:pPr>
      <w:r>
        <w:rPr>
          <w:rFonts w:ascii="Calibri" w:hAnsi="Calibri"/>
          <w:b w:val="0"/>
          <w:i w:val="0"/>
          <w:color w:val="1F2937"/>
          <w:sz w:val="22"/>
        </w:rPr>
        <w:t>limits on independent use.</w:t>
      </w:r>
    </w:p>
    <w:p>
      <w:pPr>
        <w:pStyle w:val="Heading1"/>
      </w:pPr>
      <w:r>
        <w:t>11. Pilot data and safety rules</w:t>
      </w:r>
    </w:p>
    <w:p>
      <w:pPr>
        <w:pStyle w:val="ListBullet"/>
        <w:ind w:left="540" w:hanging="271"/>
      </w:pPr>
      <w:r>
        <w:rPr>
          <w:rFonts w:ascii="Calibri" w:hAnsi="Calibri"/>
          <w:b w:val="0"/>
          <w:i w:val="0"/>
          <w:color w:val="1F2937"/>
          <w:sz w:val="22"/>
        </w:rPr>
        <w:t>Use synthetic listings until the agreement, privacy notice and Brokerage authorization are signed.</w:t>
      </w:r>
    </w:p>
    <w:p>
      <w:pPr>
        <w:pStyle w:val="ListBullet"/>
        <w:ind w:left="540" w:hanging="271"/>
      </w:pPr>
      <w:r>
        <w:rPr>
          <w:rFonts w:ascii="Calibri" w:hAnsi="Calibri"/>
          <w:b w:val="0"/>
          <w:i w:val="0"/>
          <w:color w:val="1F2937"/>
          <w:sz w:val="22"/>
        </w:rPr>
        <w:t>If real pilot listings are allowed, record owner/rights authority and approved visibility.</w:t>
      </w:r>
    </w:p>
    <w:p>
      <w:pPr>
        <w:pStyle w:val="ListBullet"/>
        <w:ind w:left="540" w:hanging="271"/>
      </w:pPr>
      <w:r>
        <w:rPr>
          <w:rFonts w:ascii="Calibri" w:hAnsi="Calibri"/>
          <w:b w:val="0"/>
          <w:i w:val="0"/>
          <w:color w:val="1F2937"/>
          <w:sz w:val="22"/>
        </w:rPr>
        <w:t>Do not upload title documents, IDs, bank details or unnecessary sensitive personal data.</w:t>
      </w:r>
    </w:p>
    <w:p>
      <w:pPr>
        <w:pStyle w:val="ListBullet"/>
        <w:ind w:left="540" w:hanging="271"/>
      </w:pPr>
      <w:r>
        <w:rPr>
          <w:rFonts w:ascii="Calibri" w:hAnsi="Calibri"/>
          <w:b w:val="0"/>
          <w:i w:val="0"/>
          <w:color w:val="1F2937"/>
          <w:sz w:val="22"/>
        </w:rPr>
        <w:t>Use payment sandbox until final subscription launch.</w:t>
      </w:r>
    </w:p>
    <w:p>
      <w:pPr>
        <w:pStyle w:val="ListBullet"/>
        <w:ind w:left="540" w:hanging="271"/>
      </w:pPr>
      <w:r>
        <w:rPr>
          <w:rFonts w:ascii="Calibri" w:hAnsi="Calibri"/>
          <w:b w:val="0"/>
          <w:i w:val="0"/>
          <w:color w:val="1F2937"/>
          <w:sz w:val="22"/>
        </w:rPr>
        <w:t>Disable uncontracted external exports.</w:t>
      </w:r>
    </w:p>
    <w:p>
      <w:pPr>
        <w:pStyle w:val="ListBullet"/>
        <w:ind w:left="540" w:hanging="271"/>
      </w:pPr>
      <w:r>
        <w:rPr>
          <w:rFonts w:ascii="Calibri" w:hAnsi="Calibri"/>
          <w:b w:val="0"/>
          <w:i w:val="0"/>
          <w:color w:val="1F2937"/>
          <w:sz w:val="22"/>
        </w:rPr>
        <w:t>Protect previews; share client review access without repository, Vercel or Supabase administration.</w:t>
      </w:r>
    </w:p>
    <w:p>
      <w:pPr>
        <w:pStyle w:val="ListBullet"/>
        <w:ind w:left="540" w:hanging="271"/>
      </w:pPr>
      <w:r>
        <w:rPr>
          <w:rFonts w:ascii="Calibri" w:hAnsi="Calibri"/>
          <w:b w:val="0"/>
          <w:i w:val="0"/>
          <w:color w:val="1F2937"/>
          <w:sz w:val="22"/>
        </w:rPr>
        <w:t>Name an incident lead and test the notification tree before pilot.</w:t>
      </w:r>
    </w:p>
    <w:p>
      <w:pPr>
        <w:pStyle w:val="ListBullet"/>
        <w:ind w:left="540" w:hanging="271"/>
      </w:pPr>
      <w:r>
        <w:rPr>
          <w:rFonts w:ascii="Calibri" w:hAnsi="Calibri"/>
          <w:b w:val="0"/>
          <w:i w:val="0"/>
          <w:color w:val="1F2937"/>
          <w:sz w:val="22"/>
        </w:rPr>
        <w:t>Give every participant an exit and access-removal process.</w:t>
      </w:r>
    </w:p>
    <w:p>
      <w:pPr>
        <w:pStyle w:val="Heading1"/>
      </w:pPr>
      <w:r>
        <w:t>12. Counsel review checklist</w:t>
      </w:r>
    </w:p>
    <w:p>
      <w:pPr>
        <w:pStyle w:val="ListBullet"/>
        <w:ind w:left="540" w:hanging="271"/>
      </w:pPr>
      <w:r>
        <w:rPr>
          <w:rFonts w:ascii="Calibri" w:hAnsi="Calibri"/>
          <w:b w:val="0"/>
          <w:i w:val="0"/>
          <w:color w:val="1F2937"/>
          <w:sz w:val="22"/>
        </w:rPr>
        <w:t>[ ] Confirm entity, governing law and dispute forum.</w:t>
      </w:r>
    </w:p>
    <w:p>
      <w:pPr>
        <w:pStyle w:val="ListBullet"/>
        <w:ind w:left="540" w:hanging="271"/>
      </w:pPr>
      <w:r>
        <w:rPr>
          <w:rFonts w:ascii="Calibri" w:hAnsi="Calibri"/>
          <w:b w:val="0"/>
          <w:i w:val="0"/>
          <w:color w:val="1F2937"/>
          <w:sz w:val="22"/>
        </w:rPr>
        <w:t>[ ] Determine business-to-business versus consumer application of each term.</w:t>
      </w:r>
    </w:p>
    <w:p>
      <w:pPr>
        <w:pStyle w:val="ListBullet"/>
        <w:ind w:left="540" w:hanging="271"/>
      </w:pPr>
      <w:r>
        <w:rPr>
          <w:rFonts w:ascii="Calibri" w:hAnsi="Calibri"/>
          <w:b w:val="0"/>
          <w:i w:val="0"/>
          <w:color w:val="1F2937"/>
          <w:sz w:val="22"/>
        </w:rPr>
        <w:t>[ ] Confirm OIC registration and Data Protection Officer requirements.</w:t>
      </w:r>
    </w:p>
    <w:p>
      <w:pPr>
        <w:pStyle w:val="ListBullet"/>
        <w:ind w:left="540" w:hanging="271"/>
      </w:pPr>
      <w:r>
        <w:rPr>
          <w:rFonts w:ascii="Calibri" w:hAnsi="Calibri"/>
          <w:b w:val="0"/>
          <w:i w:val="0"/>
          <w:color w:val="1F2937"/>
          <w:sz w:val="22"/>
        </w:rPr>
        <w:t>[ ] Complete data inventory, lawful basis, DPIA, rights and breach procedure.</w:t>
      </w:r>
    </w:p>
    <w:p>
      <w:pPr>
        <w:pStyle w:val="ListBullet"/>
        <w:ind w:left="540" w:hanging="271"/>
      </w:pPr>
      <w:r>
        <w:rPr>
          <w:rFonts w:ascii="Calibri" w:hAnsi="Calibri"/>
          <w:b w:val="0"/>
          <w:i w:val="0"/>
          <w:color w:val="1F2937"/>
          <w:sz w:val="22"/>
        </w:rPr>
        <w:t>[ ] Approve cross-border transfers and subprocessors.</w:t>
      </w:r>
    </w:p>
    <w:p>
      <w:pPr>
        <w:pStyle w:val="ListBullet"/>
        <w:ind w:left="540" w:hanging="271"/>
      </w:pPr>
      <w:r>
        <w:rPr>
          <w:rFonts w:ascii="Calibri" w:hAnsi="Calibri"/>
          <w:b w:val="0"/>
          <w:i w:val="0"/>
          <w:color w:val="1F2937"/>
          <w:sz w:val="22"/>
        </w:rPr>
        <w:t>[ ] Validate REB licensing and advertising fields, including shared display.</w:t>
      </w:r>
    </w:p>
    <w:p>
      <w:pPr>
        <w:pStyle w:val="ListBullet"/>
        <w:ind w:left="540" w:hanging="271"/>
      </w:pPr>
      <w:r>
        <w:rPr>
          <w:rFonts w:ascii="Calibri" w:hAnsi="Calibri"/>
          <w:b w:val="0"/>
          <w:i w:val="0"/>
          <w:color w:val="1F2937"/>
          <w:sz w:val="22"/>
        </w:rPr>
        <w:t>[ ] Confirm electronic clickwrap, notice and records under the Electronic Transactions Act.</w:t>
      </w:r>
    </w:p>
    <w:p>
      <w:pPr>
        <w:pStyle w:val="ListBullet"/>
        <w:ind w:left="540" w:hanging="271"/>
      </w:pPr>
      <w:r>
        <w:rPr>
          <w:rFonts w:ascii="Calibri" w:hAnsi="Calibri"/>
          <w:b w:val="0"/>
          <w:i w:val="0"/>
          <w:color w:val="1F2937"/>
          <w:sz w:val="22"/>
        </w:rPr>
        <w:t>[ ] Review prices, renewal, cancellation, refunds, taxes and payment terms.</w:t>
      </w:r>
    </w:p>
    <w:p>
      <w:pPr>
        <w:pStyle w:val="ListBullet"/>
        <w:ind w:left="540" w:hanging="271"/>
      </w:pPr>
      <w:r>
        <w:rPr>
          <w:rFonts w:ascii="Calibri" w:hAnsi="Calibri"/>
          <w:b w:val="0"/>
          <w:i w:val="0"/>
          <w:color w:val="1F2937"/>
          <w:sz w:val="22"/>
        </w:rPr>
        <w:t>[ ] Draft enforceable warranties, indemnities and liability limits.</w:t>
      </w:r>
    </w:p>
    <w:p>
      <w:pPr>
        <w:pStyle w:val="ListBullet"/>
        <w:ind w:left="540" w:hanging="271"/>
      </w:pPr>
      <w:r>
        <w:rPr>
          <w:rFonts w:ascii="Calibri" w:hAnsi="Calibri"/>
          <w:b w:val="0"/>
          <w:i w:val="0"/>
          <w:color w:val="1F2937"/>
          <w:sz w:val="22"/>
        </w:rPr>
        <w:t>[ ] Approve suspension/content-removal process for illegal or urgent safety matters.</w:t>
      </w:r>
    </w:p>
    <w:p>
      <w:pPr>
        <w:pStyle w:val="ListBullet"/>
        <w:ind w:left="540" w:hanging="271"/>
      </w:pPr>
      <w:r>
        <w:rPr>
          <w:rFonts w:ascii="Calibri" w:hAnsi="Calibri"/>
          <w:b w:val="0"/>
          <w:i w:val="0"/>
          <w:color w:val="1F2937"/>
          <w:sz w:val="22"/>
        </w:rPr>
        <w:t>[ ] Confirm IP/content licence and takedown procedure.</w:t>
      </w:r>
    </w:p>
    <w:p>
      <w:pPr>
        <w:pStyle w:val="ListBullet"/>
        <w:ind w:left="540" w:hanging="271"/>
      </w:pPr>
      <w:r>
        <w:rPr>
          <w:rFonts w:ascii="Calibri" w:hAnsi="Calibri"/>
          <w:b w:val="0"/>
          <w:i w:val="0"/>
          <w:color w:val="1F2937"/>
          <w:sz w:val="22"/>
        </w:rPr>
        <w:t>[ ] Approve retention/deletion and legal-hold schedule.</w:t>
      </w:r>
    </w:p>
    <w:p>
      <w:pPr>
        <w:pStyle w:val="ListBullet"/>
        <w:ind w:left="540" w:hanging="271"/>
      </w:pPr>
      <w:r>
        <w:rPr>
          <w:rFonts w:ascii="Calibri" w:hAnsi="Calibri"/>
          <w:b w:val="0"/>
          <w:i w:val="0"/>
          <w:color w:val="1F2937"/>
          <w:sz w:val="22"/>
        </w:rPr>
        <w:t>[ ] Review cookies, analytics and marketing consent.</w:t>
      </w:r>
    </w:p>
    <w:p>
      <w:pPr>
        <w:pStyle w:val="ListBullet"/>
        <w:ind w:left="540" w:hanging="271"/>
      </w:pPr>
      <w:r>
        <w:rPr>
          <w:rFonts w:ascii="Calibri" w:hAnsi="Calibri"/>
          <w:b w:val="0"/>
          <w:i w:val="0"/>
          <w:color w:val="1F2937"/>
          <w:sz w:val="22"/>
        </w:rPr>
        <w:t>[ ] Approve pilot support/availability promises against provider plans.</w:t>
      </w:r>
    </w:p>
    <w:p>
      <w:pPr>
        <w:pStyle w:val="ListBullet"/>
        <w:ind w:left="540" w:hanging="271"/>
      </w:pPr>
      <w:r>
        <w:rPr>
          <w:rFonts w:ascii="Calibri" w:hAnsi="Calibri"/>
          <w:b w:val="0"/>
          <w:i w:val="0"/>
          <w:color w:val="1F2937"/>
          <w:sz w:val="22"/>
        </w:rPr>
        <w:t>[ ] Confirm security-incident and regulatory notification timelines.</w:t>
      </w:r>
    </w:p>
    <w:p>
      <w:pPr>
        <w:pStyle w:val="ListBullet"/>
        <w:ind w:left="540" w:hanging="271"/>
      </w:pPr>
      <w:r>
        <w:rPr>
          <w:rFonts w:ascii="Calibri" w:hAnsi="Calibri"/>
          <w:b w:val="0"/>
          <w:i w:val="0"/>
          <w:color w:val="1F2937"/>
          <w:sz w:val="22"/>
        </w:rPr>
        <w:t>[ ] Approve country expansion gate.</w:t>
      </w:r>
    </w:p>
    <w:p>
      <w:pPr>
        <w:pStyle w:val="Heading1"/>
      </w:pPr>
      <w:r>
        <w:t>13. Launch blockers</w:t>
      </w:r>
    </w:p>
    <w:p>
      <w:pPr>
        <w:spacing w:after="120" w:line="300" w:lineRule="auto"/>
      </w:pPr>
      <w:r>
        <w:rPr>
          <w:rFonts w:ascii="Calibri" w:hAnsi="Calibri"/>
          <w:b w:val="0"/>
          <w:i w:val="0"/>
          <w:color w:val="1F2937"/>
          <w:sz w:val="22"/>
        </w:rPr>
        <w:t>Do not begin an external live-data pilot until:</w:t>
      </w:r>
    </w:p>
    <w:p>
      <w:pPr>
        <w:pStyle w:val="ListBullet"/>
        <w:ind w:left="540" w:hanging="271"/>
      </w:pPr>
      <w:r>
        <w:rPr>
          <w:rFonts w:ascii="Calibri" w:hAnsi="Calibri"/>
          <w:b w:val="0"/>
          <w:i w:val="0"/>
          <w:color w:val="1F2937"/>
          <w:sz w:val="22"/>
        </w:rPr>
        <w:t>counsel approves the agreement, terms, privacy notice, AUP and schedules;</w:t>
      </w:r>
    </w:p>
    <w:p>
      <w:pPr>
        <w:pStyle w:val="ListBullet"/>
        <w:ind w:left="540" w:hanging="271"/>
      </w:pPr>
      <w:r>
        <w:rPr>
          <w:rFonts w:ascii="Calibri" w:hAnsi="Calibri"/>
          <w:b w:val="0"/>
          <w:i w:val="0"/>
          <w:color w:val="1F2937"/>
          <w:sz w:val="22"/>
        </w:rPr>
        <w:t>required OIC/controller actions are completed or documented;</w:t>
      </w:r>
    </w:p>
    <w:p>
      <w:pPr>
        <w:pStyle w:val="ListBullet"/>
        <w:ind w:left="540" w:hanging="271"/>
      </w:pPr>
      <w:r>
        <w:rPr>
          <w:rFonts w:ascii="Calibri" w:hAnsi="Calibri"/>
          <w:b w:val="0"/>
          <w:i w:val="0"/>
          <w:color w:val="1F2937"/>
          <w:sz w:val="22"/>
        </w:rPr>
        <w:t>Brokerage signs responsibilities and listing authorization;</w:t>
      </w:r>
    </w:p>
    <w:p>
      <w:pPr>
        <w:pStyle w:val="ListBullet"/>
        <w:ind w:left="540" w:hanging="271"/>
      </w:pPr>
      <w:r>
        <w:rPr>
          <w:rFonts w:ascii="Calibri" w:hAnsi="Calibri"/>
          <w:b w:val="0"/>
          <w:i w:val="0"/>
          <w:color w:val="1F2937"/>
          <w:sz w:val="22"/>
        </w:rPr>
        <w:t>production/staging providers and subprocessors are disclosed;</w:t>
      </w:r>
    </w:p>
    <w:p>
      <w:pPr>
        <w:pStyle w:val="ListBullet"/>
        <w:ind w:left="540" w:hanging="271"/>
      </w:pPr>
      <w:r>
        <w:rPr>
          <w:rFonts w:ascii="Calibri" w:hAnsi="Calibri"/>
          <w:b w:val="0"/>
          <w:i w:val="0"/>
          <w:color w:val="1F2937"/>
          <w:sz w:val="22"/>
        </w:rPr>
        <w:t>paid backup/recovery capability and incident response are ready;</w:t>
      </w:r>
    </w:p>
    <w:p>
      <w:pPr>
        <w:pStyle w:val="ListBullet"/>
        <w:ind w:left="540" w:hanging="271"/>
      </w:pPr>
      <w:r>
        <w:rPr>
          <w:rFonts w:ascii="Calibri" w:hAnsi="Calibri"/>
          <w:b w:val="0"/>
          <w:i w:val="0"/>
          <w:color w:val="1F2937"/>
          <w:sz w:val="22"/>
        </w:rPr>
        <w:t>billing/refund/tax language matches the actual provider and pricing;</w:t>
      </w:r>
    </w:p>
    <w:p>
      <w:pPr>
        <w:pStyle w:val="ListBullet"/>
        <w:ind w:left="540" w:hanging="271"/>
      </w:pPr>
      <w:r>
        <w:rPr>
          <w:rFonts w:ascii="Calibri" w:hAnsi="Calibri"/>
          <w:b w:val="0"/>
          <w:i w:val="0"/>
          <w:color w:val="1F2937"/>
          <w:sz w:val="22"/>
        </w:rPr>
        <w:t>public pages display required brokerage/agent/licensing information;</w:t>
      </w:r>
    </w:p>
    <w:p>
      <w:pPr>
        <w:pStyle w:val="ListBullet"/>
        <w:ind w:left="540" w:hanging="271"/>
      </w:pPr>
      <w:r>
        <w:rPr>
          <w:rFonts w:ascii="Calibri" w:hAnsi="Calibri"/>
          <w:b w:val="0"/>
          <w:i w:val="0"/>
          <w:color w:val="1F2937"/>
          <w:sz w:val="22"/>
        </w:rPr>
        <w:t>security and privacy contacts are live;</w:t>
      </w:r>
    </w:p>
    <w:p>
      <w:pPr>
        <w:pStyle w:val="ListBullet"/>
        <w:ind w:left="540" w:hanging="271"/>
      </w:pPr>
      <w:r>
        <w:rPr>
          <w:rFonts w:ascii="Calibri" w:hAnsi="Calibri"/>
          <w:b w:val="0"/>
          <w:i w:val="0"/>
          <w:color w:val="1F2937"/>
          <w:sz w:val="22"/>
        </w:rPr>
        <w:t>no external-channel claim exceeds written authorization.</w:t>
      </w:r>
    </w:p>
    <w:p>
      <w:pPr>
        <w:pStyle w:val="Heading1"/>
      </w:pPr>
      <w:r>
        <w:t>14. Official sources for counsel</w:t>
      </w:r>
    </w:p>
    <w:p>
      <w:pPr>
        <w:pStyle w:val="ListBullet"/>
        <w:ind w:left="540" w:hanging="271"/>
      </w:pPr>
      <w:r>
        <w:rPr>
          <w:rFonts w:ascii="Calibri" w:hAnsi="Calibri"/>
          <w:b w:val="0"/>
          <w:i w:val="0"/>
          <w:color w:val="1F2937"/>
          <w:sz w:val="22"/>
        </w:rPr>
        <w:t>Office of the Information Commissioner, Jamaica: Data Protection Act and controller guidance (https://oic.gov.jm/ and https://www.oic.gov.jm/sites/default/files/page-files/The-Data-Protection-Act-2020-No.-7%20%28WebCompressed%29_0.pdf).</w:t>
      </w:r>
    </w:p>
    <w:p>
      <w:pPr>
        <w:pStyle w:val="ListBullet"/>
        <w:ind w:left="540" w:hanging="271"/>
      </w:pPr>
      <w:r>
        <w:rPr>
          <w:rFonts w:ascii="Calibri" w:hAnsi="Calibri"/>
          <w:b w:val="0"/>
          <w:i w:val="0"/>
          <w:color w:val="1F2937"/>
          <w:sz w:val="22"/>
        </w:rPr>
        <w:t>Real Estate Board/Commission of Strata Corporations: governing Act, Regulations, Code of Ethics and licensing guidance (https://reb.gov.jm/about-us/acts-regulations-policies/).</w:t>
      </w:r>
    </w:p>
    <w:p>
      <w:pPr>
        <w:pStyle w:val="ListBullet"/>
        <w:ind w:left="540" w:hanging="271"/>
      </w:pPr>
      <w:r>
        <w:rPr>
          <w:rFonts w:ascii="Calibri" w:hAnsi="Calibri"/>
          <w:b w:val="0"/>
          <w:i w:val="0"/>
          <w:color w:val="1F2937"/>
          <w:sz w:val="22"/>
        </w:rPr>
        <w:t>Laws of Jamaica, Ministry of Justice: Electronic Transactions Act (https://laws.moj.gov.jm/library/statute/the-electronic-transactions-act) and Consumer Protection Act (https://laws.moj.gov.jm/library/statute/the-consumer-protection-act).</w:t>
      </w:r>
    </w:p>
    <w:p>
      <w:pPr>
        <w:pStyle w:val="ListBullet"/>
        <w:ind w:left="540" w:hanging="271"/>
      </w:pPr>
      <w:r>
        <w:rPr>
          <w:rFonts w:ascii="Calibri" w:hAnsi="Calibri"/>
          <w:b w:val="0"/>
          <w:i w:val="0"/>
          <w:color w:val="1F2937"/>
          <w:sz w:val="22"/>
        </w:rPr>
        <w:t>Fair Trading Commission: legislation and consumer/business guidance (https://jftc.gov.jm/enforcement/legislation/).</w:t>
      </w:r>
    </w:p>
    <w:p>
      <w:pPr>
        <w:spacing w:after="120" w:line="300" w:lineRule="auto"/>
      </w:pPr>
      <w:r>
        <w:rPr>
          <w:rFonts w:ascii="Calibri" w:hAnsi="Calibri"/>
          <w:b w:val="0"/>
          <w:i w:val="0"/>
          <w:color w:val="1F2937"/>
          <w:sz w:val="22"/>
        </w:rPr>
        <w:t>These sources are a planning index, not a substitute for a current Jamaican legal opinion or official Gazette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Planning Baseline  |  Version 0.1  |  Page </w:t>
    </w:r>
    <w:r>
      <w:rPr>
        <w:rFonts w:ascii="Calibri" w:hAnsi="Calibri"/>
        <w:b w:val="0"/>
        <w:i w:val="0"/>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STEADFAST  |  PILOT AND LEGAL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efore="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Pilot and Legal Readiness Pack v0.1</dc:title>
  <dc:subject>Business and technical draft for Jamaican counsel review</dc:subject>
  <dc:creator>SteadFast</dc:creator>
  <cp:keywords>SteadFast, SaaS, real estate, Jamaica, planning</cp:keywords>
  <dc:description>generated by python-docx</dc:description>
  <cp:lastModifiedBy/>
  <cp:revision>1</cp:revision>
  <dcterms:created xsi:type="dcterms:W3CDTF">2013-12-23T23:15:00Z</dcterms:created>
  <dcterms:modified xsi:type="dcterms:W3CDTF">2013-12-23T23:15:00Z</dcterms:modified>
  <cp:category/>
</cp:coreProperties>
</file>