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Calibri" w:hAnsi="Calibri"/>
          <w:b/>
          <w:i w:val="0"/>
          <w:color w:val="1F4E78"/>
          <w:sz w:val="20"/>
        </w:rPr>
        <w:t>QUALITY AND RELEASE SPECIFICATION</w:t>
      </w:r>
    </w:p>
    <w:p>
      <w:pPr>
        <w:spacing w:after="100"/>
      </w:pPr>
      <w:r>
        <w:rPr>
          <w:rFonts w:ascii="Calibri" w:hAnsi="Calibri"/>
          <w:b/>
          <w:i w:val="0"/>
          <w:color w:val="17365D"/>
          <w:sz w:val="54"/>
        </w:rPr>
        <w:t>SteadFast Testing and Deployment Plan</w:t>
      </w:r>
    </w:p>
    <w:p>
      <w:pPr>
        <w:spacing w:after="320"/>
      </w:pPr>
      <w:r>
        <w:rPr>
          <w:rFonts w:ascii="Calibri" w:hAnsi="Calibri"/>
          <w:b w:val="0"/>
          <w:i w:val="0"/>
          <w:color w:val="667085"/>
          <w:sz w:val="27"/>
        </w:rPr>
        <w:t>Continuous previews, isolated data, release gates and recoverable production</w:t>
      </w:r>
    </w:p>
    <w:p>
      <w:pPr>
        <w:spacing w:after="40"/>
      </w:pPr>
      <w:r>
        <w:rPr>
          <w:rFonts w:ascii="Calibri" w:hAnsi="Calibri"/>
          <w:b/>
          <w:i w:val="0"/>
          <w:color w:val="17365D"/>
          <w:sz w:val="21"/>
        </w:rPr>
        <w:t xml:space="preserve">Document owner: </w:t>
      </w:r>
      <w:r>
        <w:rPr>
          <w:rFonts w:ascii="Calibri" w:hAnsi="Calibri"/>
          <w:b w:val="0"/>
          <w:i w:val="0"/>
          <w:color w:val="1F2937"/>
          <w:sz w:val="21"/>
        </w:rPr>
        <w:t>SteadFast Product and Engineering</w:t>
      </w:r>
    </w:p>
    <w:p>
      <w:pPr>
        <w:spacing w:after="40"/>
      </w:pPr>
      <w:r>
        <w:rPr>
          <w:rFonts w:ascii="Calibri" w:hAnsi="Calibri"/>
          <w:b/>
          <w:i w:val="0"/>
          <w:color w:val="17365D"/>
          <w:sz w:val="21"/>
        </w:rPr>
        <w:t xml:space="preserve">Status: </w:t>
      </w:r>
      <w:r>
        <w:rPr>
          <w:rFonts w:ascii="Calibri" w:hAnsi="Calibri"/>
          <w:b w:val="0"/>
          <w:i w:val="0"/>
          <w:color w:val="1F2937"/>
          <w:sz w:val="21"/>
        </w:rPr>
        <w:t>MVP delivery baseline</w:t>
      </w:r>
    </w:p>
    <w:p>
      <w:pPr>
        <w:spacing w:after="40"/>
      </w:pPr>
      <w:r>
        <w:rPr>
          <w:rFonts w:ascii="Calibri" w:hAnsi="Calibri"/>
          <w:b/>
          <w:i w:val="0"/>
          <w:color w:val="17365D"/>
          <w:sz w:val="21"/>
        </w:rPr>
        <w:t xml:space="preserve">Version: </w:t>
      </w:r>
      <w:r>
        <w:rPr>
          <w:rFonts w:ascii="Calibri" w:hAnsi="Calibri"/>
          <w:b w:val="0"/>
          <w:i w:val="0"/>
          <w:color w:val="1F2937"/>
          <w:sz w:val="21"/>
        </w:rPr>
        <w:t>0.1</w:t>
      </w:r>
    </w:p>
    <w:p>
      <w:pPr>
        <w:spacing w:after="40"/>
      </w:pPr>
      <w:r>
        <w:rPr>
          <w:rFonts w:ascii="Calibri" w:hAnsi="Calibri"/>
          <w:b/>
          <w:i w:val="0"/>
          <w:color w:val="17365D"/>
          <w:sz w:val="21"/>
        </w:rPr>
        <w:t xml:space="preserve">Date: </w:t>
      </w:r>
      <w:r>
        <w:rPr>
          <w:rFonts w:ascii="Calibri" w:hAnsi="Calibri"/>
          <w:b w:val="0"/>
          <w:i w:val="0"/>
          <w:color w:val="1F2937"/>
          <w:sz w:val="21"/>
        </w:rPr>
        <w:t>16 July 2026</w:t>
      </w:r>
    </w:p>
    <w:p/>
    <w:p>
      <w:pPr>
        <w:pStyle w:val="Heading1"/>
      </w:pPr>
      <w:r>
        <w:t>1. Objective</w:t>
      </w:r>
    </w:p>
    <w:p>
      <w:pPr>
        <w:spacing w:after="120" w:line="300" w:lineRule="auto"/>
      </w:pPr>
      <w:r>
        <w:rPr>
          <w:rFonts w:ascii="Calibri" w:hAnsi="Calibri"/>
          <w:b w:val="0"/>
          <w:i w:val="0"/>
          <w:color w:val="1F2937"/>
          <w:sz w:val="22"/>
        </w:rPr>
        <w:t>Every change should produce a reviewable Vercel preview, pass automated quality and security gates, promote through isolated non-production data, and reach production with a tested rollback and recovery path. SteadFast is not deployed as a local production service.</w:t>
      </w:r>
    </w:p>
    <w:p>
      <w:pPr>
        <w:pStyle w:val="Heading1"/>
      </w:pPr>
      <w:r>
        <w:t>2. Quality strategy</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Layer</w:t>
            </w:r>
          </w:p>
        </w:tc>
        <w:tc>
          <w:tcPr>
            <w:tcW w:type="dxa" w:w="3000"/>
            <w:shd w:fill="E8EEF5"/>
          </w:tcPr>
          <w:p>
            <w:pPr>
              <w:spacing w:after="0"/>
            </w:pPr>
            <w:r>
              <w:rPr>
                <w:rFonts w:ascii="Calibri" w:hAnsi="Calibri"/>
                <w:b/>
                <w:i w:val="0"/>
                <w:color w:val="17365D"/>
                <w:sz w:val="18"/>
              </w:rPr>
              <w:t>Purpose</w:t>
            </w:r>
          </w:p>
        </w:tc>
        <w:tc>
          <w:tcPr>
            <w:tcW w:type="dxa" w:w="4560"/>
            <w:shd w:fill="E8EEF5"/>
          </w:tcPr>
          <w:p>
            <w:pPr>
              <w:spacing w:after="0"/>
            </w:pPr>
            <w:r>
              <w:rPr>
                <w:rFonts w:ascii="Calibri" w:hAnsi="Calibri"/>
                <w:b/>
                <w:i w:val="0"/>
                <w:color w:val="17365D"/>
                <w:sz w:val="18"/>
              </w:rPr>
              <w:t>Typical scope</w:t>
            </w:r>
          </w:p>
        </w:tc>
      </w:tr>
      <w:tr>
        <w:trPr>
          <w:cantSplit/>
        </w:trPr>
        <w:tc>
          <w:tcPr>
            <w:tcW w:type="dxa" w:w="1800"/>
          </w:tcPr>
          <w:p>
            <w:pPr>
              <w:spacing w:before="0" w:after="0" w:line="252" w:lineRule="auto"/>
            </w:pPr>
            <w:r>
              <w:rPr>
                <w:rFonts w:ascii="Calibri" w:hAnsi="Calibri"/>
                <w:b w:val="0"/>
                <w:i w:val="0"/>
                <w:color w:val="1F2937"/>
                <w:sz w:val="17"/>
              </w:rPr>
              <w:t>Static checks</w:t>
            </w:r>
          </w:p>
        </w:tc>
        <w:tc>
          <w:tcPr>
            <w:tcW w:type="dxa" w:w="3000"/>
          </w:tcPr>
          <w:p>
            <w:pPr>
              <w:spacing w:before="0" w:after="0" w:line="252" w:lineRule="auto"/>
            </w:pPr>
            <w:r>
              <w:rPr>
                <w:rFonts w:ascii="Calibri" w:hAnsi="Calibri"/>
                <w:b w:val="0"/>
                <w:i w:val="0"/>
                <w:color w:val="1F2937"/>
                <w:sz w:val="17"/>
              </w:rPr>
              <w:t>Catch unsafe or inconsistent code early</w:t>
            </w:r>
          </w:p>
        </w:tc>
        <w:tc>
          <w:tcPr>
            <w:tcW w:type="dxa" w:w="4560"/>
          </w:tcPr>
          <w:p>
            <w:pPr>
              <w:spacing w:before="0" w:after="0" w:line="252" w:lineRule="auto"/>
            </w:pPr>
            <w:r>
              <w:rPr>
                <w:rFonts w:ascii="Calibri" w:hAnsi="Calibri"/>
                <w:b w:val="0"/>
                <w:i w:val="0"/>
                <w:color w:val="1F2937"/>
                <w:sz w:val="17"/>
              </w:rPr>
              <w:t>Formatting, lint, TypeScript, forbidden imports/secrets</w:t>
            </w:r>
          </w:p>
        </w:tc>
      </w:tr>
      <w:tr>
        <w:trPr>
          <w:cantSplit/>
        </w:trPr>
        <w:tc>
          <w:tcPr>
            <w:tcW w:type="dxa" w:w="1800"/>
            <w:shd w:fill="F7F9FB"/>
          </w:tcPr>
          <w:p>
            <w:pPr>
              <w:spacing w:before="0" w:after="0" w:line="252" w:lineRule="auto"/>
            </w:pPr>
            <w:r>
              <w:rPr>
                <w:rFonts w:ascii="Calibri" w:hAnsi="Calibri"/>
                <w:b w:val="0"/>
                <w:i w:val="0"/>
                <w:color w:val="1F2937"/>
                <w:sz w:val="17"/>
              </w:rPr>
              <w:t>Unit</w:t>
            </w:r>
          </w:p>
        </w:tc>
        <w:tc>
          <w:tcPr>
            <w:tcW w:type="dxa" w:w="3000"/>
            <w:shd w:fill="F7F9FB"/>
          </w:tcPr>
          <w:p>
            <w:pPr>
              <w:spacing w:before="0" w:after="0" w:line="252" w:lineRule="auto"/>
            </w:pPr>
            <w:r>
              <w:rPr>
                <w:rFonts w:ascii="Calibri" w:hAnsi="Calibri"/>
                <w:b w:val="0"/>
                <w:i w:val="0"/>
                <w:color w:val="1F2937"/>
                <w:sz w:val="17"/>
              </w:rPr>
              <w:t>Prove small rules</w:t>
            </w:r>
          </w:p>
        </w:tc>
        <w:tc>
          <w:tcPr>
            <w:tcW w:type="dxa" w:w="4560"/>
            <w:shd w:fill="F7F9FB"/>
          </w:tcPr>
          <w:p>
            <w:pPr>
              <w:spacing w:before="0" w:after="0" w:line="252" w:lineRule="auto"/>
            </w:pPr>
            <w:r>
              <w:rPr>
                <w:rFonts w:ascii="Calibri" w:hAnsi="Calibri"/>
                <w:b w:val="0"/>
                <w:i w:val="0"/>
                <w:color w:val="1F2937"/>
                <w:sz w:val="17"/>
              </w:rPr>
              <w:t>Status transitions, pricing, validation, mapping</w:t>
            </w:r>
          </w:p>
        </w:tc>
      </w:tr>
      <w:tr>
        <w:trPr>
          <w:cantSplit/>
        </w:trPr>
        <w:tc>
          <w:tcPr>
            <w:tcW w:type="dxa" w:w="1800"/>
          </w:tcPr>
          <w:p>
            <w:pPr>
              <w:spacing w:before="0" w:after="0" w:line="252" w:lineRule="auto"/>
            </w:pPr>
            <w:r>
              <w:rPr>
                <w:rFonts w:ascii="Calibri" w:hAnsi="Calibri"/>
                <w:b w:val="0"/>
                <w:i w:val="0"/>
                <w:color w:val="1F2937"/>
                <w:sz w:val="17"/>
              </w:rPr>
              <w:t>Component</w:t>
            </w:r>
          </w:p>
        </w:tc>
        <w:tc>
          <w:tcPr>
            <w:tcW w:type="dxa" w:w="3000"/>
          </w:tcPr>
          <w:p>
            <w:pPr>
              <w:spacing w:before="0" w:after="0" w:line="252" w:lineRule="auto"/>
            </w:pPr>
            <w:r>
              <w:rPr>
                <w:rFonts w:ascii="Calibri" w:hAnsi="Calibri"/>
                <w:b w:val="0"/>
                <w:i w:val="0"/>
                <w:color w:val="1F2937"/>
                <w:sz w:val="17"/>
              </w:rPr>
              <w:t>Prove interface behavior</w:t>
            </w:r>
          </w:p>
        </w:tc>
        <w:tc>
          <w:tcPr>
            <w:tcW w:type="dxa" w:w="4560"/>
          </w:tcPr>
          <w:p>
            <w:pPr>
              <w:spacing w:before="0" w:after="0" w:line="252" w:lineRule="auto"/>
            </w:pPr>
            <w:r>
              <w:rPr>
                <w:rFonts w:ascii="Calibri" w:hAnsi="Calibri"/>
                <w:b w:val="0"/>
                <w:i w:val="0"/>
                <w:color w:val="1F2937"/>
                <w:sz w:val="17"/>
              </w:rPr>
              <w:t>Forms, errors, accessibility, responsive states</w:t>
            </w:r>
          </w:p>
        </w:tc>
      </w:tr>
      <w:tr>
        <w:trPr>
          <w:cantSplit/>
        </w:trPr>
        <w:tc>
          <w:tcPr>
            <w:tcW w:type="dxa" w:w="1800"/>
            <w:shd w:fill="F7F9FB"/>
          </w:tcPr>
          <w:p>
            <w:pPr>
              <w:spacing w:before="0" w:after="0" w:line="252" w:lineRule="auto"/>
            </w:pPr>
            <w:r>
              <w:rPr>
                <w:rFonts w:ascii="Calibri" w:hAnsi="Calibri"/>
                <w:b w:val="0"/>
                <w:i w:val="0"/>
                <w:color w:val="1F2937"/>
                <w:sz w:val="17"/>
              </w:rPr>
              <w:t>Database</w:t>
            </w:r>
          </w:p>
        </w:tc>
        <w:tc>
          <w:tcPr>
            <w:tcW w:type="dxa" w:w="3000"/>
            <w:shd w:fill="F7F9FB"/>
          </w:tcPr>
          <w:p>
            <w:pPr>
              <w:spacing w:before="0" w:after="0" w:line="252" w:lineRule="auto"/>
            </w:pPr>
            <w:r>
              <w:rPr>
                <w:rFonts w:ascii="Calibri" w:hAnsi="Calibri"/>
                <w:b w:val="0"/>
                <w:i w:val="0"/>
                <w:color w:val="1F2937"/>
                <w:sz w:val="17"/>
              </w:rPr>
              <w:t>Prove constraints and RLS</w:t>
            </w:r>
          </w:p>
        </w:tc>
        <w:tc>
          <w:tcPr>
            <w:tcW w:type="dxa" w:w="4560"/>
            <w:shd w:fill="F7F9FB"/>
          </w:tcPr>
          <w:p>
            <w:pPr>
              <w:spacing w:before="0" w:after="0" w:line="252" w:lineRule="auto"/>
            </w:pPr>
            <w:r>
              <w:rPr>
                <w:rFonts w:ascii="Calibri" w:hAnsi="Calibri"/>
                <w:b w:val="0"/>
                <w:i w:val="0"/>
                <w:color w:val="1F2937"/>
                <w:sz w:val="17"/>
              </w:rPr>
              <w:t>Tenant isolation, approvals, immutability, audit</w:t>
            </w:r>
          </w:p>
        </w:tc>
      </w:tr>
      <w:tr>
        <w:trPr>
          <w:cantSplit/>
        </w:trPr>
        <w:tc>
          <w:tcPr>
            <w:tcW w:type="dxa" w:w="1800"/>
          </w:tcPr>
          <w:p>
            <w:pPr>
              <w:spacing w:before="0" w:after="0" w:line="252" w:lineRule="auto"/>
            </w:pPr>
            <w:r>
              <w:rPr>
                <w:rFonts w:ascii="Calibri" w:hAnsi="Calibri"/>
                <w:b w:val="0"/>
                <w:i w:val="0"/>
                <w:color w:val="1F2937"/>
                <w:sz w:val="17"/>
              </w:rPr>
              <w:t>Integration</w:t>
            </w:r>
          </w:p>
        </w:tc>
        <w:tc>
          <w:tcPr>
            <w:tcW w:type="dxa" w:w="3000"/>
          </w:tcPr>
          <w:p>
            <w:pPr>
              <w:spacing w:before="0" w:after="0" w:line="252" w:lineRule="auto"/>
            </w:pPr>
            <w:r>
              <w:rPr>
                <w:rFonts w:ascii="Calibri" w:hAnsi="Calibri"/>
                <w:b w:val="0"/>
                <w:i w:val="0"/>
                <w:color w:val="1F2937"/>
                <w:sz w:val="17"/>
              </w:rPr>
              <w:t>Prove module boundaries</w:t>
            </w:r>
          </w:p>
        </w:tc>
        <w:tc>
          <w:tcPr>
            <w:tcW w:type="dxa" w:w="4560"/>
          </w:tcPr>
          <w:p>
            <w:pPr>
              <w:spacing w:before="0" w:after="0" w:line="252" w:lineRule="auto"/>
            </w:pPr>
            <w:r>
              <w:rPr>
                <w:rFonts w:ascii="Calibri" w:hAnsi="Calibri"/>
                <w:b w:val="0"/>
                <w:i w:val="0"/>
                <w:color w:val="1F2937"/>
                <w:sz w:val="17"/>
              </w:rPr>
              <w:t>Auth, storage, outbox, payments, geocoding</w:t>
            </w:r>
          </w:p>
        </w:tc>
      </w:tr>
      <w:tr>
        <w:trPr>
          <w:cantSplit/>
        </w:trPr>
        <w:tc>
          <w:tcPr>
            <w:tcW w:type="dxa" w:w="1800"/>
            <w:shd w:fill="F7F9FB"/>
          </w:tcPr>
          <w:p>
            <w:pPr>
              <w:spacing w:before="0" w:after="0" w:line="252" w:lineRule="auto"/>
            </w:pPr>
            <w:r>
              <w:rPr>
                <w:rFonts w:ascii="Calibri" w:hAnsi="Calibri"/>
                <w:b w:val="0"/>
                <w:i w:val="0"/>
                <w:color w:val="1F2937"/>
                <w:sz w:val="17"/>
              </w:rPr>
              <w:t>Contract</w:t>
            </w:r>
          </w:p>
        </w:tc>
        <w:tc>
          <w:tcPr>
            <w:tcW w:type="dxa" w:w="3000"/>
            <w:shd w:fill="F7F9FB"/>
          </w:tcPr>
          <w:p>
            <w:pPr>
              <w:spacing w:before="0" w:after="0" w:line="252" w:lineRule="auto"/>
            </w:pPr>
            <w:r>
              <w:rPr>
                <w:rFonts w:ascii="Calibri" w:hAnsi="Calibri"/>
                <w:b w:val="0"/>
                <w:i w:val="0"/>
                <w:color w:val="1F2937"/>
                <w:sz w:val="17"/>
              </w:rPr>
              <w:t>Prove API/provider shape</w:t>
            </w:r>
          </w:p>
        </w:tc>
        <w:tc>
          <w:tcPr>
            <w:tcW w:type="dxa" w:w="4560"/>
            <w:shd w:fill="F7F9FB"/>
          </w:tcPr>
          <w:p>
            <w:pPr>
              <w:spacing w:before="0" w:after="0" w:line="252" w:lineRule="auto"/>
            </w:pPr>
            <w:r>
              <w:rPr>
                <w:rFonts w:ascii="Calibri" w:hAnsi="Calibri"/>
                <w:b w:val="0"/>
                <w:i w:val="0"/>
                <w:color w:val="1F2937"/>
                <w:sz w:val="17"/>
              </w:rPr>
              <w:t>Internal v1 schemas, webhooks, feed adapters</w:t>
            </w:r>
          </w:p>
        </w:tc>
      </w:tr>
      <w:tr>
        <w:trPr>
          <w:cantSplit/>
        </w:trPr>
        <w:tc>
          <w:tcPr>
            <w:tcW w:type="dxa" w:w="1800"/>
          </w:tcPr>
          <w:p>
            <w:pPr>
              <w:spacing w:before="0" w:after="0" w:line="252" w:lineRule="auto"/>
            </w:pPr>
            <w:r>
              <w:rPr>
                <w:rFonts w:ascii="Calibri" w:hAnsi="Calibri"/>
                <w:b w:val="0"/>
                <w:i w:val="0"/>
                <w:color w:val="1F2937"/>
                <w:sz w:val="17"/>
              </w:rPr>
              <w:t>End-to-end</w:t>
            </w:r>
          </w:p>
        </w:tc>
        <w:tc>
          <w:tcPr>
            <w:tcW w:type="dxa" w:w="3000"/>
          </w:tcPr>
          <w:p>
            <w:pPr>
              <w:spacing w:before="0" w:after="0" w:line="252" w:lineRule="auto"/>
            </w:pPr>
            <w:r>
              <w:rPr>
                <w:rFonts w:ascii="Calibri" w:hAnsi="Calibri"/>
                <w:b w:val="0"/>
                <w:i w:val="0"/>
                <w:color w:val="1F2937"/>
                <w:sz w:val="17"/>
              </w:rPr>
              <w:t>Prove user outcomes</w:t>
            </w:r>
          </w:p>
        </w:tc>
        <w:tc>
          <w:tcPr>
            <w:tcW w:type="dxa" w:w="4560"/>
          </w:tcPr>
          <w:p>
            <w:pPr>
              <w:spacing w:before="0" w:after="0" w:line="252" w:lineRule="auto"/>
            </w:pPr>
            <w:r>
              <w:rPr>
                <w:rFonts w:ascii="Calibri" w:hAnsi="Calibri"/>
                <w:b w:val="0"/>
                <w:i w:val="0"/>
                <w:color w:val="1F2937"/>
                <w:sz w:val="17"/>
              </w:rPr>
              <w:t>Agent create, staff approve, public search/inquiry</w:t>
            </w:r>
          </w:p>
        </w:tc>
      </w:tr>
      <w:tr>
        <w:trPr>
          <w:cantSplit/>
        </w:trPr>
        <w:tc>
          <w:tcPr>
            <w:tcW w:type="dxa" w:w="1800"/>
            <w:shd w:fill="F7F9FB"/>
          </w:tcPr>
          <w:p>
            <w:pPr>
              <w:spacing w:before="0" w:after="0" w:line="252" w:lineRule="auto"/>
            </w:pPr>
            <w:r>
              <w:rPr>
                <w:rFonts w:ascii="Calibri" w:hAnsi="Calibri"/>
                <w:b w:val="0"/>
                <w:i w:val="0"/>
                <w:color w:val="1F2937"/>
                <w:sz w:val="17"/>
              </w:rPr>
              <w:t>Non-functional</w:t>
            </w:r>
          </w:p>
        </w:tc>
        <w:tc>
          <w:tcPr>
            <w:tcW w:type="dxa" w:w="3000"/>
            <w:shd w:fill="F7F9FB"/>
          </w:tcPr>
          <w:p>
            <w:pPr>
              <w:spacing w:before="0" w:after="0" w:line="252" w:lineRule="auto"/>
            </w:pPr>
            <w:r>
              <w:rPr>
                <w:rFonts w:ascii="Calibri" w:hAnsi="Calibri"/>
                <w:b w:val="0"/>
                <w:i w:val="0"/>
                <w:color w:val="1F2937"/>
                <w:sz w:val="17"/>
              </w:rPr>
              <w:t>Prove operational fitness</w:t>
            </w:r>
          </w:p>
        </w:tc>
        <w:tc>
          <w:tcPr>
            <w:tcW w:type="dxa" w:w="4560"/>
            <w:shd w:fill="F7F9FB"/>
          </w:tcPr>
          <w:p>
            <w:pPr>
              <w:spacing w:before="0" w:after="0" w:line="252" w:lineRule="auto"/>
            </w:pPr>
            <w:r>
              <w:rPr>
                <w:rFonts w:ascii="Calibri" w:hAnsi="Calibri"/>
                <w:b w:val="0"/>
                <w:i w:val="0"/>
                <w:color w:val="1F2937"/>
                <w:sz w:val="17"/>
              </w:rPr>
              <w:t>Security, accessibility, performance, recovery</w:t>
            </w:r>
          </w:p>
        </w:tc>
      </w:tr>
    </w:tbl>
    <w:p>
      <w:pPr>
        <w:spacing w:after="0"/>
      </w:pPr>
    </w:p>
    <w:p>
      <w:pPr>
        <w:pStyle w:val="Heading1"/>
      </w:pPr>
      <w:r>
        <w:t>3. Test environments and data</w:t>
      </w:r>
    </w:p>
    <w:tbl>
      <w:tblPr>
        <w:tblStyle w:val="TableGrid"/>
        <w:tblW w:type="dxa" w:w="9360"/>
        <w:jc w:val="left"/>
        <w:tblLayout w:type="fixed"/>
        <w:tblLook w:firstColumn="1" w:firstRow="1" w:lastColumn="0" w:lastRow="0" w:noHBand="0" w:noVBand="1" w:val="04A0"/>
        <w:tblInd w:w="120" w:type="dxa"/>
      </w:tblPr>
      <w:tblGrid>
        <w:gridCol w:w="1500"/>
        <w:gridCol w:w="2200"/>
        <w:gridCol w:w="1700"/>
        <w:gridCol w:w="3960"/>
      </w:tblGrid>
      <w:tr>
        <w:trPr>
          <w:tblHeader w:val="true"/>
        </w:trPr>
        <w:tc>
          <w:tcPr>
            <w:tcW w:type="dxa" w:w="1500"/>
            <w:shd w:fill="E8EEF5"/>
          </w:tcPr>
          <w:p>
            <w:pPr>
              <w:spacing w:after="0"/>
            </w:pPr>
            <w:r>
              <w:rPr>
                <w:rFonts w:ascii="Calibri" w:hAnsi="Calibri"/>
                <w:b/>
                <w:i w:val="0"/>
                <w:color w:val="17365D"/>
                <w:sz w:val="18"/>
              </w:rPr>
              <w:t>Environment</w:t>
            </w:r>
          </w:p>
        </w:tc>
        <w:tc>
          <w:tcPr>
            <w:tcW w:type="dxa" w:w="2200"/>
            <w:shd w:fill="E8EEF5"/>
          </w:tcPr>
          <w:p>
            <w:pPr>
              <w:spacing w:after="0"/>
            </w:pPr>
            <w:r>
              <w:rPr>
                <w:rFonts w:ascii="Calibri" w:hAnsi="Calibri"/>
                <w:b/>
                <w:i w:val="0"/>
                <w:color w:val="17365D"/>
                <w:sz w:val="18"/>
              </w:rPr>
              <w:t>Purpose</w:t>
            </w:r>
          </w:p>
        </w:tc>
        <w:tc>
          <w:tcPr>
            <w:tcW w:type="dxa" w:w="1700"/>
            <w:shd w:fill="E8EEF5"/>
          </w:tcPr>
          <w:p>
            <w:pPr>
              <w:spacing w:after="0"/>
            </w:pPr>
            <w:r>
              <w:rPr>
                <w:rFonts w:ascii="Calibri" w:hAnsi="Calibri"/>
                <w:b/>
                <w:i w:val="0"/>
                <w:color w:val="17365D"/>
                <w:sz w:val="18"/>
              </w:rPr>
              <w:t>Data policy</w:t>
            </w:r>
          </w:p>
        </w:tc>
        <w:tc>
          <w:tcPr>
            <w:tcW w:type="dxa" w:w="3960"/>
            <w:shd w:fill="E8EEF5"/>
          </w:tcPr>
          <w:p>
            <w:pPr>
              <w:spacing w:after="0"/>
            </w:pPr>
            <w:r>
              <w:rPr>
                <w:rFonts w:ascii="Calibri" w:hAnsi="Calibri"/>
                <w:b/>
                <w:i w:val="0"/>
                <w:color w:val="17365D"/>
                <w:sz w:val="18"/>
              </w:rPr>
              <w:t>Deployment</w:t>
            </w:r>
          </w:p>
        </w:tc>
      </w:tr>
      <w:tr>
        <w:trPr>
          <w:cantSplit/>
        </w:trPr>
        <w:tc>
          <w:tcPr>
            <w:tcW w:type="dxa" w:w="1500"/>
          </w:tcPr>
          <w:p>
            <w:pPr>
              <w:spacing w:before="0" w:after="0" w:line="252" w:lineRule="auto"/>
            </w:pPr>
            <w:r>
              <w:rPr>
                <w:rFonts w:ascii="Calibri" w:hAnsi="Calibri"/>
                <w:b w:val="0"/>
                <w:i w:val="0"/>
                <w:color w:val="1F2937"/>
                <w:sz w:val="17"/>
              </w:rPr>
              <w:t>Developer</w:t>
            </w:r>
          </w:p>
        </w:tc>
        <w:tc>
          <w:tcPr>
            <w:tcW w:type="dxa" w:w="2200"/>
          </w:tcPr>
          <w:p>
            <w:pPr>
              <w:spacing w:before="0" w:after="0" w:line="252" w:lineRule="auto"/>
            </w:pPr>
            <w:r>
              <w:rPr>
                <w:rFonts w:ascii="Calibri" w:hAnsi="Calibri"/>
                <w:b w:val="0"/>
                <w:i w:val="0"/>
                <w:color w:val="1F2937"/>
                <w:sz w:val="17"/>
              </w:rPr>
              <w:t>Code and fast automated tests</w:t>
            </w:r>
          </w:p>
        </w:tc>
        <w:tc>
          <w:tcPr>
            <w:tcW w:type="dxa" w:w="1700"/>
          </w:tcPr>
          <w:p>
            <w:pPr>
              <w:spacing w:before="0" w:after="0" w:line="252" w:lineRule="auto"/>
            </w:pPr>
            <w:r>
              <w:rPr>
                <w:rFonts w:ascii="Calibri" w:hAnsi="Calibri"/>
                <w:b w:val="0"/>
                <w:i w:val="0"/>
                <w:color w:val="1F2937"/>
                <w:sz w:val="17"/>
              </w:rPr>
              <w:t>Synthetic only</w:t>
            </w:r>
          </w:p>
        </w:tc>
        <w:tc>
          <w:tcPr>
            <w:tcW w:type="dxa" w:w="3960"/>
          </w:tcPr>
          <w:p>
            <w:pPr>
              <w:spacing w:before="0" w:after="0" w:line="252" w:lineRule="auto"/>
            </w:pPr>
            <w:r>
              <w:rPr>
                <w:rFonts w:ascii="Calibri" w:hAnsi="Calibri"/>
                <w:b w:val="0"/>
                <w:i w:val="0"/>
                <w:color w:val="1F2937"/>
                <w:sz w:val="17"/>
              </w:rPr>
              <w:t>Local execution permitted; not a public deployment</w:t>
            </w:r>
          </w:p>
        </w:tc>
      </w:tr>
      <w:tr>
        <w:trPr>
          <w:cantSplit/>
        </w:trPr>
        <w:tc>
          <w:tcPr>
            <w:tcW w:type="dxa" w:w="1500"/>
            <w:shd w:fill="F7F9FB"/>
          </w:tcPr>
          <w:p>
            <w:pPr>
              <w:spacing w:before="0" w:after="0" w:line="252" w:lineRule="auto"/>
            </w:pPr>
            <w:r>
              <w:rPr>
                <w:rFonts w:ascii="Calibri" w:hAnsi="Calibri"/>
                <w:b w:val="0"/>
                <w:i w:val="0"/>
                <w:color w:val="1F2937"/>
                <w:sz w:val="17"/>
              </w:rPr>
              <w:t>Preview</w:t>
            </w:r>
          </w:p>
        </w:tc>
        <w:tc>
          <w:tcPr>
            <w:tcW w:type="dxa" w:w="2200"/>
            <w:shd w:fill="F7F9FB"/>
          </w:tcPr>
          <w:p>
            <w:pPr>
              <w:spacing w:before="0" w:after="0" w:line="252" w:lineRule="auto"/>
            </w:pPr>
            <w:r>
              <w:rPr>
                <w:rFonts w:ascii="Calibri" w:hAnsi="Calibri"/>
                <w:b w:val="0"/>
                <w:i w:val="0"/>
                <w:color w:val="1F2937"/>
                <w:sz w:val="17"/>
              </w:rPr>
              <w:t>Every branch/pull request</w:t>
            </w:r>
          </w:p>
        </w:tc>
        <w:tc>
          <w:tcPr>
            <w:tcW w:type="dxa" w:w="1700"/>
            <w:shd w:fill="F7F9FB"/>
          </w:tcPr>
          <w:p>
            <w:pPr>
              <w:spacing w:before="0" w:after="0" w:line="252" w:lineRule="auto"/>
            </w:pPr>
            <w:r>
              <w:rPr>
                <w:rFonts w:ascii="Calibri" w:hAnsi="Calibri"/>
                <w:b w:val="0"/>
                <w:i w:val="0"/>
                <w:color w:val="1F2937"/>
                <w:sz w:val="17"/>
              </w:rPr>
              <w:t>Ephemeral synthetic seed</w:t>
            </w:r>
          </w:p>
        </w:tc>
        <w:tc>
          <w:tcPr>
            <w:tcW w:type="dxa" w:w="3960"/>
            <w:shd w:fill="F7F9FB"/>
          </w:tcPr>
          <w:p>
            <w:pPr>
              <w:spacing w:before="0" w:after="0" w:line="252" w:lineRule="auto"/>
            </w:pPr>
            <w:r>
              <w:rPr>
                <w:rFonts w:ascii="Calibri" w:hAnsi="Calibri"/>
                <w:b w:val="0"/>
                <w:i w:val="0"/>
                <w:color w:val="1F2937"/>
                <w:sz w:val="17"/>
              </w:rPr>
              <w:t>Automatic Vercel preview</w:t>
            </w:r>
          </w:p>
        </w:tc>
      </w:tr>
      <w:tr>
        <w:trPr>
          <w:cantSplit/>
        </w:trPr>
        <w:tc>
          <w:tcPr>
            <w:tcW w:type="dxa" w:w="1500"/>
          </w:tcPr>
          <w:p>
            <w:pPr>
              <w:spacing w:before="0" w:after="0" w:line="252" w:lineRule="auto"/>
            </w:pPr>
            <w:r>
              <w:rPr>
                <w:rFonts w:ascii="Calibri" w:hAnsi="Calibri"/>
                <w:b w:val="0"/>
                <w:i w:val="0"/>
                <w:color w:val="1F2937"/>
                <w:sz w:val="17"/>
              </w:rPr>
              <w:t>Staging/pilot</w:t>
            </w:r>
          </w:p>
        </w:tc>
        <w:tc>
          <w:tcPr>
            <w:tcW w:type="dxa" w:w="2200"/>
          </w:tcPr>
          <w:p>
            <w:pPr>
              <w:spacing w:before="0" w:after="0" w:line="252" w:lineRule="auto"/>
            </w:pPr>
            <w:r>
              <w:rPr>
                <w:rFonts w:ascii="Calibri" w:hAnsi="Calibri"/>
                <w:b w:val="0"/>
                <w:i w:val="0"/>
                <w:color w:val="1F2937"/>
                <w:sz w:val="17"/>
              </w:rPr>
              <w:t>Release candidate and client acceptance</w:t>
            </w:r>
          </w:p>
        </w:tc>
        <w:tc>
          <w:tcPr>
            <w:tcW w:type="dxa" w:w="1700"/>
          </w:tcPr>
          <w:p>
            <w:pPr>
              <w:spacing w:before="0" w:after="0" w:line="252" w:lineRule="auto"/>
            </w:pPr>
            <w:r>
              <w:rPr>
                <w:rFonts w:ascii="Calibri" w:hAnsi="Calibri"/>
                <w:b w:val="0"/>
                <w:i w:val="0"/>
                <w:color w:val="1F2937"/>
                <w:sz w:val="17"/>
              </w:rPr>
              <w:t>Controlled test/pilot data</w:t>
            </w:r>
          </w:p>
        </w:tc>
        <w:tc>
          <w:tcPr>
            <w:tcW w:type="dxa" w:w="3960"/>
          </w:tcPr>
          <w:p>
            <w:pPr>
              <w:spacing w:before="0" w:after="0" w:line="252" w:lineRule="auto"/>
            </w:pPr>
            <w:r>
              <w:rPr>
                <w:rFonts w:ascii="Calibri" w:hAnsi="Calibri"/>
                <w:b w:val="0"/>
                <w:i w:val="0"/>
                <w:color w:val="1F2937"/>
                <w:sz w:val="17"/>
              </w:rPr>
              <w:t>Stable protected Vercel environment</w:t>
            </w:r>
          </w:p>
        </w:tc>
      </w:tr>
      <w:tr>
        <w:trPr>
          <w:cantSplit/>
        </w:trPr>
        <w:tc>
          <w:tcPr>
            <w:tcW w:type="dxa" w:w="1500"/>
            <w:shd w:fill="F7F9FB"/>
          </w:tcPr>
          <w:p>
            <w:pPr>
              <w:spacing w:before="0" w:after="0" w:line="252" w:lineRule="auto"/>
            </w:pPr>
            <w:r>
              <w:rPr>
                <w:rFonts w:ascii="Calibri" w:hAnsi="Calibri"/>
                <w:b w:val="0"/>
                <w:i w:val="0"/>
                <w:color w:val="1F2937"/>
                <w:sz w:val="17"/>
              </w:rPr>
              <w:t>Production</w:t>
            </w:r>
          </w:p>
        </w:tc>
        <w:tc>
          <w:tcPr>
            <w:tcW w:type="dxa" w:w="2200"/>
            <w:shd w:fill="F7F9FB"/>
          </w:tcPr>
          <w:p>
            <w:pPr>
              <w:spacing w:before="0" w:after="0" w:line="252" w:lineRule="auto"/>
            </w:pPr>
            <w:r>
              <w:rPr>
                <w:rFonts w:ascii="Calibri" w:hAnsi="Calibri"/>
                <w:b w:val="0"/>
                <w:i w:val="0"/>
                <w:color w:val="1F2937"/>
                <w:sz w:val="17"/>
              </w:rPr>
              <w:t>Live service</w:t>
            </w:r>
          </w:p>
        </w:tc>
        <w:tc>
          <w:tcPr>
            <w:tcW w:type="dxa" w:w="1700"/>
            <w:shd w:fill="F7F9FB"/>
          </w:tcPr>
          <w:p>
            <w:pPr>
              <w:spacing w:before="0" w:after="0" w:line="252" w:lineRule="auto"/>
            </w:pPr>
            <w:r>
              <w:rPr>
                <w:rFonts w:ascii="Calibri" w:hAnsi="Calibri"/>
                <w:b w:val="0"/>
                <w:i w:val="0"/>
                <w:color w:val="1F2937"/>
                <w:sz w:val="17"/>
              </w:rPr>
              <w:t>Live data only</w:t>
            </w:r>
          </w:p>
        </w:tc>
        <w:tc>
          <w:tcPr>
            <w:tcW w:type="dxa" w:w="3960"/>
            <w:shd w:fill="F7F9FB"/>
          </w:tcPr>
          <w:p>
            <w:pPr>
              <w:spacing w:before="0" w:after="0" w:line="252" w:lineRule="auto"/>
            </w:pPr>
            <w:r>
              <w:rPr>
                <w:rFonts w:ascii="Calibri" w:hAnsi="Calibri"/>
                <w:b w:val="0"/>
                <w:i w:val="0"/>
                <w:color w:val="1F2937"/>
                <w:sz w:val="17"/>
              </w:rPr>
              <w:t>Canonical domain after approval</w:t>
            </w:r>
          </w:p>
        </w:tc>
      </w:tr>
    </w:tbl>
    <w:p>
      <w:pPr>
        <w:spacing w:after="0"/>
      </w:pPr>
    </w:p>
    <w:p>
      <w:pPr>
        <w:spacing w:after="120" w:line="300" w:lineRule="auto"/>
      </w:pPr>
      <w:r>
        <w:rPr>
          <w:rFonts w:ascii="Calibri" w:hAnsi="Calibri"/>
          <w:b w:val="0"/>
          <w:i w:val="0"/>
          <w:color w:val="1F2937"/>
          <w:sz w:val="22"/>
        </w:rPr>
        <w:t>Production data is never copied into preview. If staging ever needs production-like data, use an approved, irreversible anonymization process.</w:t>
      </w:r>
    </w:p>
    <w:p>
      <w:pPr>
        <w:pStyle w:val="Heading1"/>
      </w:pPr>
      <w:r>
        <w:t>4. Test accounts</w:t>
      </w:r>
    </w:p>
    <w:p>
      <w:pPr>
        <w:spacing w:after="120" w:line="300" w:lineRule="auto"/>
      </w:pPr>
      <w:r>
        <w:rPr>
          <w:rFonts w:ascii="Calibri" w:hAnsi="Calibri"/>
          <w:b w:val="0"/>
          <w:i w:val="0"/>
          <w:color w:val="1F2937"/>
          <w:sz w:val="22"/>
        </w:rPr>
        <w:t>Maintain seeded identities for visitor, consumer, agent, agent-plus-staff, staff, broker, operations and admin. Use at least two brokerages so every feature includes cross-brokerage negative cases. Include active, pending, deactivated, departed and unassigned states.</w:t>
      </w:r>
    </w:p>
    <w:p>
      <w:pPr>
        <w:spacing w:after="120" w:line="300" w:lineRule="auto"/>
      </w:pPr>
      <w:r>
        <w:rPr>
          <w:rFonts w:ascii="Calibri" w:hAnsi="Calibri"/>
          <w:b w:val="0"/>
          <w:i w:val="0"/>
          <w:color w:val="1F2937"/>
          <w:sz w:val="22"/>
        </w:rPr>
        <w:t>Automated tests must never use real email addresses, payment cards, listing documents or inquiry content. Provider sandboxes and test numbers are mandatory.</w:t>
      </w:r>
    </w:p>
    <w:p>
      <w:pPr>
        <w:pStyle w:val="Heading1"/>
      </w:pPr>
      <w:r>
        <w:t>5. Functional test suites</w:t>
      </w:r>
    </w:p>
    <w:p>
      <w:pPr>
        <w:pStyle w:val="Heading2"/>
      </w:pPr>
      <w:r>
        <w:t>5.1 Identity and membership</w:t>
      </w:r>
    </w:p>
    <w:p>
      <w:pPr>
        <w:pStyle w:val="ListBullet"/>
        <w:ind w:left="540" w:hanging="271"/>
      </w:pPr>
      <w:r>
        <w:rPr>
          <w:rFonts w:ascii="Calibri" w:hAnsi="Calibri"/>
          <w:b w:val="0"/>
          <w:i w:val="0"/>
          <w:color w:val="1F2937"/>
          <w:sz w:val="22"/>
        </w:rPr>
        <w:t>Registration, email confirmation, sign-in, sign-out and password recovery.</w:t>
      </w:r>
    </w:p>
    <w:p>
      <w:pPr>
        <w:pStyle w:val="ListBullet"/>
        <w:ind w:left="540" w:hanging="271"/>
      </w:pPr>
      <w:r>
        <w:rPr>
          <w:rFonts w:ascii="Calibri" w:hAnsi="Calibri"/>
          <w:b w:val="0"/>
          <w:i w:val="0"/>
          <w:color w:val="1F2937"/>
          <w:sz w:val="22"/>
        </w:rPr>
        <w:t>Invitation expiry, reuse, wrong email and wrong brokerage.</w:t>
      </w:r>
    </w:p>
    <w:p>
      <w:pPr>
        <w:pStyle w:val="ListBullet"/>
        <w:ind w:left="540" w:hanging="271"/>
      </w:pPr>
      <w:r>
        <w:rPr>
          <w:rFonts w:ascii="Calibri" w:hAnsi="Calibri"/>
          <w:b w:val="0"/>
          <w:i w:val="0"/>
          <w:color w:val="1F2937"/>
          <w:sz w:val="22"/>
        </w:rPr>
        <w:t>Broker approval/denial of agent application.</w:t>
      </w:r>
    </w:p>
    <w:p>
      <w:pPr>
        <w:pStyle w:val="ListBullet"/>
        <w:ind w:left="540" w:hanging="271"/>
      </w:pPr>
      <w:r>
        <w:rPr>
          <w:rFonts w:ascii="Calibri" w:hAnsi="Calibri"/>
          <w:b w:val="0"/>
          <w:i w:val="0"/>
          <w:color w:val="1F2937"/>
          <w:sz w:val="22"/>
        </w:rPr>
        <w:t>One active brokerage membership constraint.</w:t>
      </w:r>
    </w:p>
    <w:p>
      <w:pPr>
        <w:pStyle w:val="ListBullet"/>
        <w:ind w:left="540" w:hanging="271"/>
      </w:pPr>
      <w:r>
        <w:rPr>
          <w:rFonts w:ascii="Calibri" w:hAnsi="Calibri"/>
          <w:b w:val="0"/>
          <w:i w:val="0"/>
          <w:color w:val="1F2937"/>
          <w:sz w:val="22"/>
        </w:rPr>
        <w:t>Staff capability grant/revoke and combined agent/staff behavior.</w:t>
      </w:r>
    </w:p>
    <w:p>
      <w:pPr>
        <w:pStyle w:val="ListBullet"/>
        <w:ind w:left="540" w:hanging="271"/>
      </w:pPr>
      <w:r>
        <w:rPr>
          <w:rFonts w:ascii="Calibri" w:hAnsi="Calibri"/>
          <w:b w:val="0"/>
          <w:i w:val="0"/>
          <w:color w:val="1F2937"/>
          <w:sz w:val="22"/>
        </w:rPr>
        <w:t>Agent departure, same-account rejoining and no transfer of old listings.</w:t>
      </w:r>
    </w:p>
    <w:p>
      <w:pPr>
        <w:pStyle w:val="ListBullet"/>
        <w:ind w:left="540" w:hanging="271"/>
      </w:pPr>
      <w:r>
        <w:rPr>
          <w:rFonts w:ascii="Calibri" w:hAnsi="Calibri"/>
          <w:b w:val="0"/>
          <w:i w:val="0"/>
          <w:color w:val="1F2937"/>
          <w:sz w:val="22"/>
        </w:rPr>
        <w:t>Session revocation and privilege-change refresh.</w:t>
      </w:r>
    </w:p>
    <w:p>
      <w:pPr>
        <w:pStyle w:val="Heading2"/>
      </w:pPr>
      <w:r>
        <w:t>5.2 Listings and approval</w:t>
      </w:r>
    </w:p>
    <w:p>
      <w:pPr>
        <w:pStyle w:val="ListBullet"/>
        <w:ind w:left="540" w:hanging="271"/>
      </w:pPr>
      <w:r>
        <w:rPr>
          <w:rFonts w:ascii="Calibri" w:hAnsi="Calibri"/>
          <w:b w:val="0"/>
          <w:i w:val="0"/>
          <w:color w:val="1F2937"/>
          <w:sz w:val="22"/>
        </w:rPr>
        <w:t>Draft autosave and recovery.</w:t>
      </w:r>
    </w:p>
    <w:p>
      <w:pPr>
        <w:pStyle w:val="ListBullet"/>
        <w:ind w:left="540" w:hanging="271"/>
      </w:pPr>
      <w:r>
        <w:rPr>
          <w:rFonts w:ascii="Calibri" w:hAnsi="Calibri"/>
          <w:b w:val="0"/>
          <w:i w:val="0"/>
          <w:color w:val="1F2937"/>
          <w:sz w:val="22"/>
        </w:rPr>
        <w:t>Required fields by sale and long-term rent.</w:t>
      </w:r>
    </w:p>
    <w:p>
      <w:pPr>
        <w:pStyle w:val="ListBullet"/>
        <w:ind w:left="540" w:hanging="271"/>
      </w:pPr>
      <w:r>
        <w:rPr>
          <w:rFonts w:ascii="Calibri" w:hAnsi="Calibri"/>
          <w:b w:val="0"/>
          <w:i w:val="0"/>
          <w:color w:val="1F2937"/>
          <w:sz w:val="22"/>
        </w:rPr>
        <w:t>Media validation, ordering and removal.</w:t>
      </w:r>
    </w:p>
    <w:p>
      <w:pPr>
        <w:pStyle w:val="ListBullet"/>
        <w:ind w:left="540" w:hanging="271"/>
      </w:pPr>
      <w:r>
        <w:rPr>
          <w:rFonts w:ascii="Calibri" w:hAnsi="Calibri"/>
          <w:b w:val="0"/>
          <w:i w:val="0"/>
          <w:color w:val="1F2937"/>
          <w:sz w:val="22"/>
        </w:rPr>
        <w:t>Submission freezes the reviewed version.</w:t>
      </w:r>
    </w:p>
    <w:p>
      <w:pPr>
        <w:pStyle w:val="ListBullet"/>
        <w:ind w:left="540" w:hanging="271"/>
      </w:pPr>
      <w:r>
        <w:rPr>
          <w:rFonts w:ascii="Calibri" w:hAnsi="Calibri"/>
          <w:b w:val="0"/>
          <w:i w:val="0"/>
          <w:color w:val="1F2937"/>
          <w:sz w:val="22"/>
        </w:rPr>
        <w:t>Approve, return, reject, correct and resubmit.</w:t>
      </w:r>
    </w:p>
    <w:p>
      <w:pPr>
        <w:pStyle w:val="ListBullet"/>
        <w:ind w:left="540" w:hanging="271"/>
      </w:pPr>
      <w:r>
        <w:rPr>
          <w:rFonts w:ascii="Calibri" w:hAnsi="Calibri"/>
          <w:b w:val="0"/>
          <w:i w:val="0"/>
          <w:color w:val="1F2937"/>
          <w:sz w:val="22"/>
        </w:rPr>
        <w:t>Broker/staff self-approval and audit flag.</w:t>
      </w:r>
    </w:p>
    <w:p>
      <w:pPr>
        <w:pStyle w:val="ListBullet"/>
        <w:ind w:left="540" w:hanging="271"/>
      </w:pPr>
      <w:r>
        <w:rPr>
          <w:rFonts w:ascii="Calibri" w:hAnsi="Calibri"/>
          <w:b w:val="0"/>
          <w:i w:val="0"/>
          <w:color w:val="1F2937"/>
          <w:sz w:val="22"/>
        </w:rPr>
        <w:t>Price, address, removal and sold/rented changes require approval.</w:t>
      </w:r>
    </w:p>
    <w:p>
      <w:pPr>
        <w:pStyle w:val="ListBullet"/>
        <w:ind w:left="540" w:hanging="271"/>
      </w:pPr>
      <w:r>
        <w:rPr>
          <w:rFonts w:ascii="Calibri" w:hAnsi="Calibri"/>
          <w:b w:val="0"/>
          <w:i w:val="0"/>
          <w:color w:val="1F2937"/>
          <w:sz w:val="22"/>
        </w:rPr>
        <w:t>Pending change never alters the approved public version.</w:t>
      </w:r>
    </w:p>
    <w:p>
      <w:pPr>
        <w:pStyle w:val="ListBullet"/>
        <w:ind w:left="540" w:hanging="271"/>
      </w:pPr>
      <w:r>
        <w:rPr>
          <w:rFonts w:ascii="Calibri" w:hAnsi="Calibri"/>
          <w:b w:val="0"/>
          <w:i w:val="0"/>
          <w:color w:val="1F2937"/>
          <w:sz w:val="22"/>
        </w:rPr>
        <w:t>Concurrency conflict and duplicate submission.</w:t>
      </w:r>
    </w:p>
    <w:p>
      <w:pPr>
        <w:pStyle w:val="ListBullet"/>
        <w:ind w:left="540" w:hanging="271"/>
      </w:pPr>
      <w:r>
        <w:rPr>
          <w:rFonts w:ascii="Calibri" w:hAnsi="Calibri"/>
          <w:b w:val="0"/>
          <w:i w:val="0"/>
          <w:color w:val="1F2937"/>
          <w:sz w:val="22"/>
        </w:rPr>
        <w:t>Agent departure unpublishes and creates unassigned work.</w:t>
      </w:r>
    </w:p>
    <w:p>
      <w:pPr>
        <w:pStyle w:val="Heading2"/>
      </w:pPr>
      <w:r>
        <w:t>5.3 Public search and websites</w:t>
      </w:r>
    </w:p>
    <w:p>
      <w:pPr>
        <w:pStyle w:val="ListBullet"/>
        <w:ind w:left="540" w:hanging="271"/>
      </w:pPr>
      <w:r>
        <w:rPr>
          <w:rFonts w:ascii="Calibri" w:hAnsi="Calibri"/>
          <w:b w:val="0"/>
          <w:i w:val="0"/>
          <w:color w:val="1F2937"/>
          <w:sz w:val="22"/>
        </w:rPr>
        <w:t>Only eligible approved snapshots appear.</w:t>
      </w:r>
    </w:p>
    <w:p>
      <w:pPr>
        <w:pStyle w:val="ListBullet"/>
        <w:ind w:left="540" w:hanging="271"/>
      </w:pPr>
      <w:r>
        <w:rPr>
          <w:rFonts w:ascii="Calibri" w:hAnsi="Calibri"/>
          <w:b w:val="0"/>
          <w:i w:val="0"/>
          <w:color w:val="1F2937"/>
          <w:sz w:val="22"/>
        </w:rPr>
        <w:t>Filters, sorting, pagination, map bounds and clusters.</w:t>
      </w:r>
    </w:p>
    <w:p>
      <w:pPr>
        <w:pStyle w:val="ListBullet"/>
        <w:ind w:left="540" w:hanging="271"/>
      </w:pPr>
      <w:r>
        <w:rPr>
          <w:rFonts w:ascii="Calibri" w:hAnsi="Calibri"/>
          <w:b w:val="0"/>
          <w:i w:val="0"/>
          <w:color w:val="1F2937"/>
          <w:sz w:val="22"/>
        </w:rPr>
        <w:t>Mobile and keyboard list alternative to map.</w:t>
      </w:r>
    </w:p>
    <w:p>
      <w:pPr>
        <w:pStyle w:val="ListBullet"/>
        <w:ind w:left="540" w:hanging="271"/>
      </w:pPr>
      <w:r>
        <w:rPr>
          <w:rFonts w:ascii="Calibri" w:hAnsi="Calibri"/>
          <w:b w:val="0"/>
          <w:i w:val="0"/>
          <w:color w:val="1F2937"/>
          <w:sz w:val="22"/>
        </w:rPr>
        <w:t>Agent site owned/shared inventory.</w:t>
      </w:r>
    </w:p>
    <w:p>
      <w:pPr>
        <w:pStyle w:val="ListBullet"/>
        <w:ind w:left="540" w:hanging="271"/>
      </w:pPr>
      <w:r>
        <w:rPr>
          <w:rFonts w:ascii="Calibri" w:hAnsi="Calibri"/>
          <w:b w:val="0"/>
          <w:i w:val="0"/>
          <w:color w:val="1F2937"/>
          <w:sz w:val="22"/>
        </w:rPr>
        <w:t>Brokerage site all published brokerage inventory.</w:t>
      </w:r>
    </w:p>
    <w:p>
      <w:pPr>
        <w:pStyle w:val="ListBullet"/>
        <w:ind w:left="540" w:hanging="271"/>
      </w:pPr>
      <w:r>
        <w:rPr>
          <w:rFonts w:ascii="Calibri" w:hAnsi="Calibri"/>
          <w:b w:val="0"/>
          <w:i w:val="0"/>
          <w:color w:val="1F2937"/>
          <w:sz w:val="22"/>
        </w:rPr>
        <w:t>Canonical URL, sitemap and noindex rules.</w:t>
      </w:r>
    </w:p>
    <w:p>
      <w:pPr>
        <w:pStyle w:val="ListBullet"/>
        <w:ind w:left="540" w:hanging="271"/>
      </w:pPr>
      <w:r>
        <w:rPr>
          <w:rFonts w:ascii="Calibri" w:hAnsi="Calibri"/>
          <w:b w:val="0"/>
          <w:i w:val="0"/>
          <w:color w:val="1F2937"/>
          <w:sz w:val="22"/>
        </w:rPr>
        <w:t>Exact/public address precision.</w:t>
      </w:r>
    </w:p>
    <w:p>
      <w:pPr>
        <w:pStyle w:val="Heading2"/>
      </w:pPr>
      <w:r>
        <w:t>5.4 Sharing and inquiries</w:t>
      </w:r>
    </w:p>
    <w:p>
      <w:pPr>
        <w:pStyle w:val="ListBullet"/>
        <w:ind w:left="540" w:hanging="271"/>
      </w:pPr>
      <w:r>
        <w:rPr>
          <w:rFonts w:ascii="Calibri" w:hAnsi="Calibri"/>
          <w:b w:val="0"/>
          <w:i w:val="0"/>
          <w:color w:val="1F2937"/>
          <w:sz w:val="22"/>
        </w:rPr>
        <w:t>Share creation without broker approval.</w:t>
      </w:r>
    </w:p>
    <w:p>
      <w:pPr>
        <w:pStyle w:val="ListBullet"/>
        <w:ind w:left="540" w:hanging="271"/>
      </w:pPr>
      <w:r>
        <w:rPr>
          <w:rFonts w:ascii="Calibri" w:hAnsi="Calibri"/>
          <w:b w:val="0"/>
          <w:i w:val="0"/>
          <w:color w:val="1F2937"/>
          <w:sz w:val="22"/>
        </w:rPr>
        <w:t>Recipient cannot edit or transfer ownership.</w:t>
      </w:r>
    </w:p>
    <w:p>
      <w:pPr>
        <w:pStyle w:val="ListBullet"/>
        <w:ind w:left="540" w:hanging="271"/>
      </w:pPr>
      <w:r>
        <w:rPr>
          <w:rFonts w:ascii="Calibri" w:hAnsi="Calibri"/>
          <w:b w:val="0"/>
          <w:i w:val="0"/>
          <w:color w:val="1F2937"/>
          <w:sz w:val="22"/>
        </w:rPr>
        <w:t>Recipient removal and owner notification.</w:t>
      </w:r>
    </w:p>
    <w:p>
      <w:pPr>
        <w:pStyle w:val="ListBullet"/>
        <w:ind w:left="540" w:hanging="271"/>
      </w:pPr>
      <w:r>
        <w:rPr>
          <w:rFonts w:ascii="Calibri" w:hAnsi="Calibri"/>
          <w:b w:val="0"/>
          <w:i w:val="0"/>
          <w:color w:val="1F2937"/>
          <w:sz w:val="22"/>
        </w:rPr>
        <w:t>Owner revocation and shared-agent change notifications.</w:t>
      </w:r>
    </w:p>
    <w:p>
      <w:pPr>
        <w:pStyle w:val="ListBullet"/>
        <w:ind w:left="540" w:hanging="271"/>
      </w:pPr>
      <w:r>
        <w:rPr>
          <w:rFonts w:ascii="Calibri" w:hAnsi="Calibri"/>
          <w:b w:val="0"/>
          <w:i w:val="0"/>
          <w:color w:val="1F2937"/>
          <w:sz w:val="22"/>
        </w:rPr>
        <w:t>Both agent cards display; consumer chooses primary contact.</w:t>
      </w:r>
    </w:p>
    <w:p>
      <w:pPr>
        <w:pStyle w:val="ListBullet"/>
        <w:ind w:left="540" w:hanging="271"/>
      </w:pPr>
      <w:r>
        <w:rPr>
          <w:rFonts w:ascii="Calibri" w:hAnsi="Calibri"/>
          <w:b w:val="0"/>
          <w:i w:val="0"/>
          <w:color w:val="1F2937"/>
          <w:sz w:val="22"/>
        </w:rPr>
        <w:t>Correct routing, consent record and duplicate/spam handling.</w:t>
      </w:r>
    </w:p>
    <w:p>
      <w:pPr>
        <w:pStyle w:val="Heading2"/>
      </w:pPr>
      <w:r>
        <w:t>5.5 Billing, operations and administration</w:t>
      </w:r>
    </w:p>
    <w:p>
      <w:pPr>
        <w:pStyle w:val="ListBullet"/>
        <w:ind w:left="540" w:hanging="271"/>
      </w:pPr>
      <w:r>
        <w:rPr>
          <w:rFonts w:ascii="Calibri" w:hAnsi="Calibri"/>
          <w:b w:val="0"/>
          <w:i w:val="0"/>
          <w:color w:val="1F2937"/>
          <w:sz w:val="22"/>
        </w:rPr>
        <w:t>One professional payment for combined capabilities.</w:t>
      </w:r>
    </w:p>
    <w:p>
      <w:pPr>
        <w:pStyle w:val="ListBullet"/>
        <w:ind w:left="540" w:hanging="271"/>
      </w:pPr>
      <w:r>
        <w:rPr>
          <w:rFonts w:ascii="Calibri" w:hAnsi="Calibri"/>
          <w:b w:val="0"/>
          <w:i w:val="0"/>
          <w:color w:val="1F2937"/>
          <w:sz w:val="22"/>
        </w:rPr>
        <w:t>Plan seats, invoices, payment failure and entitlement reconciliation.</w:t>
      </w:r>
    </w:p>
    <w:p>
      <w:pPr>
        <w:pStyle w:val="ListBullet"/>
        <w:ind w:left="540" w:hanging="271"/>
      </w:pPr>
      <w:r>
        <w:rPr>
          <w:rFonts w:ascii="Calibri" w:hAnsi="Calibri"/>
          <w:b w:val="0"/>
          <w:i w:val="0"/>
          <w:color w:val="1F2937"/>
          <w:sz w:val="22"/>
        </w:rPr>
        <w:t>Signed/replayed/duplicate webhook scenarios.</w:t>
      </w:r>
    </w:p>
    <w:p>
      <w:pPr>
        <w:pStyle w:val="ListBullet"/>
        <w:ind w:left="540" w:hanging="271"/>
      </w:pPr>
      <w:r>
        <w:rPr>
          <w:rFonts w:ascii="Calibri" w:hAnsi="Calibri"/>
          <w:b w:val="0"/>
          <w:i w:val="0"/>
          <w:color w:val="1F2937"/>
          <w:sz w:val="22"/>
        </w:rPr>
        <w:t>Operations can service system/billing issues but cannot control listing content.</w:t>
      </w:r>
    </w:p>
    <w:p>
      <w:pPr>
        <w:pStyle w:val="ListBullet"/>
        <w:ind w:left="540" w:hanging="271"/>
      </w:pPr>
      <w:r>
        <w:rPr>
          <w:rFonts w:ascii="Calibri" w:hAnsi="Calibri"/>
          <w:b w:val="0"/>
          <w:i w:val="0"/>
          <w:color w:val="1F2937"/>
          <w:sz w:val="22"/>
        </w:rPr>
        <w:t>Admin grant, high-risk action audit and break-glass process.</w:t>
      </w:r>
    </w:p>
    <w:p>
      <w:pPr>
        <w:pStyle w:val="Heading1"/>
      </w:pPr>
      <w:r>
        <w:t>6. Database and RLS testing</w:t>
      </w:r>
    </w:p>
    <w:p>
      <w:pPr>
        <w:spacing w:after="120" w:line="300" w:lineRule="auto"/>
      </w:pPr>
      <w:r>
        <w:rPr>
          <w:rFonts w:ascii="Calibri" w:hAnsi="Calibri"/>
          <w:b w:val="0"/>
          <w:i w:val="0"/>
          <w:color w:val="1F2937"/>
          <w:sz w:val="22"/>
        </w:rPr>
        <w:t>Each migration includes pgTAP or equivalent tests for:</w:t>
      </w:r>
    </w:p>
    <w:p>
      <w:pPr>
        <w:pStyle w:val="ListBullet"/>
        <w:ind w:left="540" w:hanging="271"/>
      </w:pPr>
      <w:r>
        <w:rPr>
          <w:rFonts w:ascii="Calibri" w:hAnsi="Calibri"/>
          <w:b w:val="0"/>
          <w:i w:val="0"/>
          <w:color w:val="1F2937"/>
          <w:sz w:val="22"/>
        </w:rPr>
        <w:t>RLS enabled on every exposed table.</w:t>
      </w:r>
    </w:p>
    <w:p>
      <w:pPr>
        <w:pStyle w:val="ListBullet"/>
        <w:ind w:left="540" w:hanging="271"/>
      </w:pPr>
      <w:r>
        <w:rPr>
          <w:rFonts w:ascii="Calibri" w:hAnsi="Calibri"/>
          <w:b w:val="0"/>
          <w:i w:val="0"/>
          <w:color w:val="1F2937"/>
          <w:sz w:val="22"/>
        </w:rPr>
        <w:t>Explicit grants for anon, authenticated and service roles.</w:t>
      </w:r>
    </w:p>
    <w:p>
      <w:pPr>
        <w:pStyle w:val="ListBullet"/>
        <w:ind w:left="540" w:hanging="271"/>
      </w:pPr>
      <w:r>
        <w:rPr>
          <w:rFonts w:ascii="Calibri" w:hAnsi="Calibri"/>
          <w:b w:val="0"/>
          <w:i w:val="0"/>
          <w:color w:val="1F2937"/>
          <w:sz w:val="22"/>
        </w:rPr>
        <w:t>Anonymous access limited to public projections.</w:t>
      </w:r>
    </w:p>
    <w:p>
      <w:pPr>
        <w:pStyle w:val="ListBullet"/>
        <w:ind w:left="540" w:hanging="271"/>
      </w:pPr>
      <w:r>
        <w:rPr>
          <w:rFonts w:ascii="Calibri" w:hAnsi="Calibri"/>
          <w:b w:val="0"/>
          <w:i w:val="0"/>
          <w:color w:val="1F2937"/>
          <w:sz w:val="22"/>
        </w:rPr>
        <w:t>Same-tenant positive and other-tenant negative operations for every professional role.</w:t>
      </w:r>
    </w:p>
    <w:p>
      <w:pPr>
        <w:pStyle w:val="ListBullet"/>
        <w:ind w:left="540" w:hanging="271"/>
      </w:pPr>
      <w:r>
        <w:rPr>
          <w:rFonts w:ascii="Calibri" w:hAnsi="Calibri"/>
          <w:b w:val="0"/>
          <w:i w:val="0"/>
          <w:color w:val="1F2937"/>
          <w:sz w:val="22"/>
        </w:rPr>
        <w:t>User-editable metadata cannot grant permission.</w:t>
      </w:r>
    </w:p>
    <w:p>
      <w:pPr>
        <w:pStyle w:val="ListBullet"/>
        <w:ind w:left="540" w:hanging="271"/>
      </w:pPr>
      <w:r>
        <w:rPr>
          <w:rFonts w:ascii="Calibri" w:hAnsi="Calibri"/>
          <w:b w:val="0"/>
          <w:i w:val="0"/>
          <w:color w:val="1F2937"/>
          <w:sz w:val="22"/>
        </w:rPr>
        <w:t>Insert, select, update and delete policies independently tested.</w:t>
      </w:r>
    </w:p>
    <w:p>
      <w:pPr>
        <w:pStyle w:val="ListBullet"/>
        <w:ind w:left="540" w:hanging="271"/>
      </w:pPr>
      <w:r>
        <w:rPr>
          <w:rFonts w:ascii="Calibri" w:hAnsi="Calibri"/>
          <w:b w:val="0"/>
          <w:i w:val="0"/>
          <w:color w:val="1F2937"/>
          <w:sz w:val="22"/>
        </w:rPr>
        <w:t>Update policies include required select visibility and post-update constraints.</w:t>
      </w:r>
    </w:p>
    <w:p>
      <w:pPr>
        <w:pStyle w:val="ListBullet"/>
        <w:ind w:left="540" w:hanging="271"/>
      </w:pPr>
      <w:r>
        <w:rPr>
          <w:rFonts w:ascii="Calibri" w:hAnsi="Calibri"/>
          <w:b w:val="0"/>
          <w:i w:val="0"/>
          <w:color w:val="1F2937"/>
          <w:sz w:val="22"/>
        </w:rPr>
        <w:t>Public views use security-invoker behavior.</w:t>
      </w:r>
    </w:p>
    <w:p>
      <w:pPr>
        <w:pStyle w:val="ListBullet"/>
        <w:ind w:left="540" w:hanging="271"/>
      </w:pPr>
      <w:r>
        <w:rPr>
          <w:rFonts w:ascii="Calibri" w:hAnsi="Calibri"/>
          <w:b w:val="0"/>
          <w:i w:val="0"/>
          <w:color w:val="1F2937"/>
          <w:sz w:val="22"/>
        </w:rPr>
        <w:t>Security-definer functions fix search_path, qualify objects and restrict execute.</w:t>
      </w:r>
    </w:p>
    <w:p>
      <w:pPr>
        <w:pStyle w:val="ListBullet"/>
        <w:ind w:left="540" w:hanging="271"/>
      </w:pPr>
      <w:r>
        <w:rPr>
          <w:rFonts w:ascii="Calibri" w:hAnsi="Calibri"/>
          <w:b w:val="0"/>
          <w:i w:val="0"/>
          <w:color w:val="1F2937"/>
          <w:sz w:val="22"/>
        </w:rPr>
        <w:t>Approved versions and audit events cannot be updated/deleted through application roles.</w:t>
      </w:r>
    </w:p>
    <w:p>
      <w:pPr>
        <w:pStyle w:val="ListBullet"/>
        <w:ind w:left="540" w:hanging="271"/>
      </w:pPr>
      <w:r>
        <w:rPr>
          <w:rFonts w:ascii="Calibri" w:hAnsi="Calibri"/>
          <w:b w:val="0"/>
          <w:i w:val="0"/>
          <w:color w:val="1F2937"/>
          <w:sz w:val="22"/>
        </w:rPr>
        <w:t>Foreign keys and composite constraints prevent cross-tenant references.</w:t>
      </w:r>
    </w:p>
    <w:p>
      <w:pPr>
        <w:spacing w:after="120" w:line="300" w:lineRule="auto"/>
      </w:pPr>
      <w:r>
        <w:rPr>
          <w:rFonts w:ascii="Calibri" w:hAnsi="Calibri"/>
          <w:b w:val="0"/>
          <w:i w:val="0"/>
          <w:color w:val="1F2937"/>
          <w:sz w:val="22"/>
        </w:rPr>
        <w:t>Run tests using actual JWT/session contexts, not only a database owner.</w:t>
      </w:r>
    </w:p>
    <w:p>
      <w:pPr>
        <w:pStyle w:val="Heading1"/>
      </w:pPr>
      <w:r>
        <w:t>7. API and contract testing</w:t>
      </w:r>
    </w:p>
    <w:p>
      <w:pPr>
        <w:pStyle w:val="ListBullet"/>
        <w:ind w:left="540" w:hanging="271"/>
      </w:pPr>
      <w:r>
        <w:rPr>
          <w:rFonts w:ascii="Calibri" w:hAnsi="Calibri"/>
          <w:b w:val="0"/>
          <w:i w:val="0"/>
          <w:color w:val="1F2937"/>
          <w:sz w:val="22"/>
        </w:rPr>
        <w:t>Runtime validation rejects missing, extra, oversized and malformed fields.</w:t>
      </w:r>
    </w:p>
    <w:p>
      <w:pPr>
        <w:pStyle w:val="ListBullet"/>
        <w:ind w:left="540" w:hanging="271"/>
      </w:pPr>
      <w:r>
        <w:rPr>
          <w:rFonts w:ascii="Calibri" w:hAnsi="Calibri"/>
          <w:b w:val="0"/>
          <w:i w:val="0"/>
          <w:color w:val="1F2937"/>
          <w:sz w:val="22"/>
        </w:rPr>
        <w:t>401, 403, 404, 409, 422 and 429 behavior is consistent.</w:t>
      </w:r>
    </w:p>
    <w:p>
      <w:pPr>
        <w:pStyle w:val="ListBullet"/>
        <w:ind w:left="540" w:hanging="271"/>
      </w:pPr>
      <w:r>
        <w:rPr>
          <w:rFonts w:ascii="Calibri" w:hAnsi="Calibri"/>
          <w:b w:val="0"/>
          <w:i w:val="0"/>
          <w:color w:val="1F2937"/>
          <w:sz w:val="22"/>
        </w:rPr>
        <w:t>Pagination limits and query complexity are bounded.</w:t>
      </w:r>
    </w:p>
    <w:p>
      <w:pPr>
        <w:pStyle w:val="ListBullet"/>
        <w:ind w:left="540" w:hanging="271"/>
      </w:pPr>
      <w:r>
        <w:rPr>
          <w:rFonts w:ascii="Calibri" w:hAnsi="Calibri"/>
          <w:b w:val="0"/>
          <w:i w:val="0"/>
          <w:color w:val="1F2937"/>
          <w:sz w:val="22"/>
        </w:rPr>
        <w:t>Idempotency prevents duplicate publication, invoice, notification and feed effects.</w:t>
      </w:r>
    </w:p>
    <w:p>
      <w:pPr>
        <w:pStyle w:val="ListBullet"/>
        <w:ind w:left="540" w:hanging="271"/>
      </w:pPr>
      <w:r>
        <w:rPr>
          <w:rFonts w:ascii="Calibri" w:hAnsi="Calibri"/>
          <w:b w:val="0"/>
          <w:i w:val="0"/>
          <w:color w:val="1F2937"/>
          <w:sz w:val="22"/>
        </w:rPr>
        <w:t>Authenticated responses include private/no-store caching.</w:t>
      </w:r>
    </w:p>
    <w:p>
      <w:pPr>
        <w:pStyle w:val="ListBullet"/>
        <w:ind w:left="540" w:hanging="271"/>
      </w:pPr>
      <w:r>
        <w:rPr>
          <w:rFonts w:ascii="Calibri" w:hAnsi="Calibri"/>
          <w:b w:val="0"/>
          <w:i w:val="0"/>
          <w:color w:val="1F2937"/>
          <w:sz w:val="22"/>
        </w:rPr>
        <w:t>Public response schemas contain only approved fields.</w:t>
      </w:r>
    </w:p>
    <w:p>
      <w:pPr>
        <w:pStyle w:val="ListBullet"/>
        <w:ind w:left="540" w:hanging="271"/>
      </w:pPr>
      <w:r>
        <w:rPr>
          <w:rFonts w:ascii="Calibri" w:hAnsi="Calibri"/>
          <w:b w:val="0"/>
          <w:i w:val="0"/>
          <w:color w:val="1F2937"/>
          <w:sz w:val="22"/>
        </w:rPr>
        <w:t>Webhook signature, raw-body, timestamp and replay checks pass.</w:t>
      </w:r>
    </w:p>
    <w:p>
      <w:pPr>
        <w:pStyle w:val="ListBullet"/>
        <w:ind w:left="540" w:hanging="271"/>
      </w:pPr>
      <w:r>
        <w:rPr>
          <w:rFonts w:ascii="Calibri" w:hAnsi="Calibri"/>
          <w:b w:val="0"/>
          <w:i w:val="0"/>
          <w:color w:val="1F2937"/>
          <w:sz w:val="22"/>
        </w:rPr>
        <w:t>External adapters use recorded fixtures and contract versions.</w:t>
      </w:r>
    </w:p>
    <w:p>
      <w:pPr>
        <w:pStyle w:val="Heading1"/>
      </w:pPr>
      <w:r>
        <w:t>8. Security testing</w:t>
      </w:r>
    </w:p>
    <w:p>
      <w:pPr>
        <w:pStyle w:val="ListBullet"/>
        <w:ind w:left="540" w:hanging="271"/>
      </w:pPr>
      <w:r>
        <w:rPr>
          <w:rFonts w:ascii="Calibri" w:hAnsi="Calibri"/>
          <w:b w:val="0"/>
          <w:i w:val="0"/>
          <w:color w:val="1F2937"/>
          <w:sz w:val="22"/>
        </w:rPr>
        <w:t>Secret scanning in source and commits.</w:t>
      </w:r>
    </w:p>
    <w:p>
      <w:pPr>
        <w:pStyle w:val="ListBullet"/>
        <w:ind w:left="540" w:hanging="271"/>
      </w:pPr>
      <w:r>
        <w:rPr>
          <w:rFonts w:ascii="Calibri" w:hAnsi="Calibri"/>
          <w:b w:val="0"/>
          <w:i w:val="0"/>
          <w:color w:val="1F2937"/>
          <w:sz w:val="22"/>
        </w:rPr>
        <w:t>Dependency and framework vulnerability checks.</w:t>
      </w:r>
    </w:p>
    <w:p>
      <w:pPr>
        <w:pStyle w:val="ListBullet"/>
        <w:ind w:left="540" w:hanging="271"/>
      </w:pPr>
      <w:r>
        <w:rPr>
          <w:rFonts w:ascii="Calibri" w:hAnsi="Calibri"/>
          <w:b w:val="0"/>
          <w:i w:val="0"/>
          <w:color w:val="1F2937"/>
          <w:sz w:val="22"/>
        </w:rPr>
        <w:t>Authorization matrix and ID substitution tests.</w:t>
      </w:r>
    </w:p>
    <w:p>
      <w:pPr>
        <w:pStyle w:val="ListBullet"/>
        <w:ind w:left="540" w:hanging="271"/>
      </w:pPr>
      <w:r>
        <w:rPr>
          <w:rFonts w:ascii="Calibri" w:hAnsi="Calibri"/>
          <w:b w:val="0"/>
          <w:i w:val="0"/>
          <w:color w:val="1F2937"/>
          <w:sz w:val="22"/>
        </w:rPr>
        <w:t>CSRF/Origin, host-header, open-redirect and CORS tests.</w:t>
      </w:r>
    </w:p>
    <w:p>
      <w:pPr>
        <w:pStyle w:val="ListBullet"/>
        <w:ind w:left="540" w:hanging="271"/>
      </w:pPr>
      <w:r>
        <w:rPr>
          <w:rFonts w:ascii="Calibri" w:hAnsi="Calibri"/>
          <w:b w:val="0"/>
          <w:i w:val="0"/>
          <w:color w:val="1F2937"/>
          <w:sz w:val="22"/>
        </w:rPr>
        <w:t>Stored/reflected DOM XSS and strict CSP verification.</w:t>
      </w:r>
    </w:p>
    <w:p>
      <w:pPr>
        <w:pStyle w:val="ListBullet"/>
        <w:ind w:left="540" w:hanging="271"/>
      </w:pPr>
      <w:r>
        <w:rPr>
          <w:rFonts w:ascii="Calibri" w:hAnsi="Calibri"/>
          <w:b w:val="0"/>
          <w:i w:val="0"/>
          <w:color w:val="1F2937"/>
          <w:sz w:val="22"/>
        </w:rPr>
        <w:t>Upload polyglot, MIME mismatch, image bomb, metadata and path tests.</w:t>
      </w:r>
    </w:p>
    <w:p>
      <w:pPr>
        <w:pStyle w:val="ListBullet"/>
        <w:ind w:left="540" w:hanging="271"/>
      </w:pPr>
      <w:r>
        <w:rPr>
          <w:rFonts w:ascii="Calibri" w:hAnsi="Calibri"/>
          <w:b w:val="0"/>
          <w:i w:val="0"/>
          <w:color w:val="1F2937"/>
          <w:sz w:val="22"/>
        </w:rPr>
        <w:t>Rate-limit and abuse tests for sign-in, reset, registration, inquiry, search and upload.</w:t>
      </w:r>
    </w:p>
    <w:p>
      <w:pPr>
        <w:pStyle w:val="ListBullet"/>
        <w:ind w:left="540" w:hanging="271"/>
      </w:pPr>
      <w:r>
        <w:rPr>
          <w:rFonts w:ascii="Calibri" w:hAnsi="Calibri"/>
          <w:b w:val="0"/>
          <w:i w:val="0"/>
          <w:color w:val="1F2937"/>
          <w:sz w:val="22"/>
        </w:rPr>
        <w:t>SSRF tests for every server-side outbound URL.</w:t>
      </w:r>
    </w:p>
    <w:p>
      <w:pPr>
        <w:pStyle w:val="ListBullet"/>
        <w:ind w:left="540" w:hanging="271"/>
      </w:pPr>
      <w:r>
        <w:rPr>
          <w:rFonts w:ascii="Calibri" w:hAnsi="Calibri"/>
          <w:b w:val="0"/>
          <w:i w:val="0"/>
          <w:color w:val="1F2937"/>
          <w:sz w:val="22"/>
        </w:rPr>
        <w:t>Log/redaction and error-response inspection.</w:t>
      </w:r>
    </w:p>
    <w:p>
      <w:pPr>
        <w:pStyle w:val="ListBullet"/>
        <w:ind w:left="540" w:hanging="271"/>
      </w:pPr>
      <w:r>
        <w:rPr>
          <w:rFonts w:ascii="Calibri" w:hAnsi="Calibri"/>
          <w:b w:val="0"/>
          <w:i w:val="0"/>
          <w:color w:val="1F2937"/>
          <w:sz w:val="22"/>
        </w:rPr>
        <w:t>Session fixation, expiry, privilege change and logout tests.</w:t>
      </w:r>
    </w:p>
    <w:p>
      <w:pPr>
        <w:pStyle w:val="ListBullet"/>
        <w:ind w:left="540" w:hanging="271"/>
      </w:pPr>
      <w:r>
        <w:rPr>
          <w:rFonts w:ascii="Calibri" w:hAnsi="Calibri"/>
          <w:b w:val="0"/>
          <w:i w:val="0"/>
          <w:color w:val="1F2937"/>
          <w:sz w:val="22"/>
        </w:rPr>
        <w:t>Independent penetration test before broad public launch.</w:t>
      </w:r>
    </w:p>
    <w:p>
      <w:pPr>
        <w:pStyle w:val="Heading1"/>
      </w:pPr>
      <w:r>
        <w:t>9. Accessibility and usability testing</w:t>
      </w:r>
    </w:p>
    <w:p>
      <w:pPr>
        <w:spacing w:after="120" w:line="300" w:lineRule="auto"/>
      </w:pPr>
      <w:r>
        <w:rPr>
          <w:rFonts w:ascii="Calibri" w:hAnsi="Calibri"/>
          <w:b w:val="0"/>
          <w:i w:val="0"/>
          <w:color w:val="1F2937"/>
          <w:sz w:val="22"/>
        </w:rPr>
        <w:t>Automate obvious WCAG failures, then manually test keyboard navigation, focus order, screen-reader names, error summaries, zoom/reflow, contrast, touch targets, map alternatives and reduced motion. Test novice completion of first listing, review decision and public inquiry.</w:t>
      </w:r>
    </w:p>
    <w:p>
      <w:pPr>
        <w:pStyle w:val="Heading1"/>
      </w:pPr>
      <w:r>
        <w:t>10. Performance and capacity</w:t>
      </w:r>
    </w:p>
    <w:p>
      <w:pPr>
        <w:spacing w:after="120" w:line="300" w:lineRule="auto"/>
      </w:pPr>
      <w:r>
        <w:rPr>
          <w:rFonts w:ascii="Calibri" w:hAnsi="Calibri"/>
          <w:b w:val="0"/>
          <w:i w:val="0"/>
          <w:color w:val="1F2937"/>
          <w:sz w:val="22"/>
        </w:rPr>
        <w:t>Initial targets, to be refined with pilot evidence: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Pr>
          <w:p>
            <w:pPr>
              <w:spacing w:after="0"/>
            </w:pPr>
            <w:r>
              <w:rPr>
                <w:rFonts w:ascii="Calibri" w:hAnsi="Calibri"/>
                <w:b/>
                <w:i w:val="0"/>
                <w:color w:val="17365D"/>
                <w:sz w:val="18"/>
              </w:rPr>
              <w:t>Measure</w:t>
            </w:r>
          </w:p>
        </w:tc>
        <w:tc>
          <w:tcPr>
            <w:tcW w:type="dxa" w:w="7160"/>
            <w:shd w:fill="E8EEF5"/>
          </w:tcPr>
          <w:p>
            <w:pPr>
              <w:spacing w:after="0"/>
            </w:pPr>
            <w:r>
              <w:rPr>
                <w:rFonts w:ascii="Calibri" w:hAnsi="Calibri"/>
                <w:b/>
                <w:i w:val="0"/>
                <w:color w:val="17365D"/>
                <w:sz w:val="18"/>
              </w:rPr>
              <w:t>Target</w:t>
            </w:r>
          </w:p>
        </w:tc>
      </w:tr>
      <w:tr>
        <w:trPr>
          <w:cantSplit/>
        </w:trPr>
        <w:tc>
          <w:tcPr>
            <w:tcW w:type="dxa" w:w="2200"/>
          </w:tcPr>
          <w:p>
            <w:pPr>
              <w:spacing w:before="0" w:after="0" w:line="252" w:lineRule="auto"/>
            </w:pPr>
            <w:r>
              <w:rPr>
                <w:rFonts w:ascii="Calibri" w:hAnsi="Calibri"/>
                <w:b w:val="0"/>
                <w:i w:val="0"/>
                <w:color w:val="1F2937"/>
                <w:sz w:val="17"/>
              </w:rPr>
              <w:t>Public page LCP at p75</w:t>
            </w:r>
          </w:p>
        </w:tc>
        <w:tc>
          <w:tcPr>
            <w:tcW w:type="dxa" w:w="7160"/>
          </w:tcPr>
          <w:p>
            <w:pPr>
              <w:spacing w:before="0" w:after="0" w:line="252" w:lineRule="auto"/>
            </w:pPr>
            <w:r>
              <w:rPr>
                <w:rFonts w:ascii="Calibri" w:hAnsi="Calibri"/>
                <w:b w:val="0"/>
                <w:i w:val="0"/>
                <w:color w:val="1F2937"/>
                <w:sz w:val="17"/>
              </w:rPr>
              <w:t>2.5 seconds or better on mobile</w:t>
            </w:r>
          </w:p>
        </w:tc>
      </w:tr>
      <w:tr>
        <w:trPr>
          <w:cantSplit/>
        </w:trPr>
        <w:tc>
          <w:tcPr>
            <w:tcW w:type="dxa" w:w="2200"/>
            <w:shd w:fill="F7F9FB"/>
          </w:tcPr>
          <w:p>
            <w:pPr>
              <w:spacing w:before="0" w:after="0" w:line="252" w:lineRule="auto"/>
            </w:pPr>
            <w:r>
              <w:rPr>
                <w:rFonts w:ascii="Calibri" w:hAnsi="Calibri"/>
                <w:b w:val="0"/>
                <w:i w:val="0"/>
                <w:color w:val="1F2937"/>
                <w:sz w:val="17"/>
              </w:rPr>
              <w:t>Public interaction responsiveness</w:t>
            </w:r>
          </w:p>
        </w:tc>
        <w:tc>
          <w:tcPr>
            <w:tcW w:type="dxa" w:w="7160"/>
            <w:shd w:fill="F7F9FB"/>
          </w:tcPr>
          <w:p>
            <w:pPr>
              <w:spacing w:before="0" w:after="0" w:line="252" w:lineRule="auto"/>
            </w:pPr>
            <w:r>
              <w:rPr>
                <w:rFonts w:ascii="Calibri" w:hAnsi="Calibri"/>
                <w:b w:val="0"/>
                <w:i w:val="0"/>
                <w:color w:val="1F2937"/>
                <w:sz w:val="17"/>
              </w:rPr>
              <w:t>200 ms INP or better at p75</w:t>
            </w:r>
          </w:p>
        </w:tc>
      </w:tr>
      <w:tr>
        <w:trPr>
          <w:cantSplit/>
        </w:trPr>
        <w:tc>
          <w:tcPr>
            <w:tcW w:type="dxa" w:w="2200"/>
          </w:tcPr>
          <w:p>
            <w:pPr>
              <w:spacing w:before="0" w:after="0" w:line="252" w:lineRule="auto"/>
            </w:pPr>
            <w:r>
              <w:rPr>
                <w:rFonts w:ascii="Calibri" w:hAnsi="Calibri"/>
                <w:b w:val="0"/>
                <w:i w:val="0"/>
                <w:color w:val="1F2937"/>
                <w:sz w:val="17"/>
              </w:rPr>
              <w:t>Layout shift</w:t>
            </w:r>
          </w:p>
        </w:tc>
        <w:tc>
          <w:tcPr>
            <w:tcW w:type="dxa" w:w="7160"/>
          </w:tcPr>
          <w:p>
            <w:pPr>
              <w:spacing w:before="0" w:after="0" w:line="252" w:lineRule="auto"/>
            </w:pPr>
            <w:r>
              <w:rPr>
                <w:rFonts w:ascii="Calibri" w:hAnsi="Calibri"/>
                <w:b w:val="0"/>
                <w:i w:val="0"/>
                <w:color w:val="1F2937"/>
                <w:sz w:val="17"/>
              </w:rPr>
              <w:t>0.1 CLS or lower</w:t>
            </w:r>
          </w:p>
        </w:tc>
      </w:tr>
      <w:tr>
        <w:trPr>
          <w:cantSplit/>
        </w:trPr>
        <w:tc>
          <w:tcPr>
            <w:tcW w:type="dxa" w:w="2200"/>
            <w:shd w:fill="F7F9FB"/>
          </w:tcPr>
          <w:p>
            <w:pPr>
              <w:spacing w:before="0" w:after="0" w:line="252" w:lineRule="auto"/>
            </w:pPr>
            <w:r>
              <w:rPr>
                <w:rFonts w:ascii="Calibri" w:hAnsi="Calibri"/>
                <w:b w:val="0"/>
                <w:i w:val="0"/>
                <w:color w:val="1F2937"/>
                <w:sz w:val="17"/>
              </w:rPr>
              <w:t>Public API p95, excluding provider calls</w:t>
            </w:r>
          </w:p>
        </w:tc>
        <w:tc>
          <w:tcPr>
            <w:tcW w:type="dxa" w:w="7160"/>
            <w:shd w:fill="F7F9FB"/>
          </w:tcPr>
          <w:p>
            <w:pPr>
              <w:spacing w:before="0" w:after="0" w:line="252" w:lineRule="auto"/>
            </w:pPr>
            <w:r>
              <w:rPr>
                <w:rFonts w:ascii="Calibri" w:hAnsi="Calibri"/>
                <w:b w:val="0"/>
                <w:i w:val="0"/>
                <w:color w:val="1F2937"/>
                <w:sz w:val="17"/>
              </w:rPr>
              <w:t>Under 500 ms</w:t>
            </w:r>
          </w:p>
        </w:tc>
      </w:tr>
      <w:tr>
        <w:trPr>
          <w:cantSplit/>
        </w:trPr>
        <w:tc>
          <w:tcPr>
            <w:tcW w:type="dxa" w:w="2200"/>
          </w:tcPr>
          <w:p>
            <w:pPr>
              <w:spacing w:before="0" w:after="0" w:line="252" w:lineRule="auto"/>
            </w:pPr>
            <w:r>
              <w:rPr>
                <w:rFonts w:ascii="Calibri" w:hAnsi="Calibri"/>
                <w:b w:val="0"/>
                <w:i w:val="0"/>
                <w:color w:val="1F2937"/>
                <w:sz w:val="17"/>
              </w:rPr>
              <w:t>Authenticated mutation p95</w:t>
            </w:r>
          </w:p>
        </w:tc>
        <w:tc>
          <w:tcPr>
            <w:tcW w:type="dxa" w:w="7160"/>
          </w:tcPr>
          <w:p>
            <w:pPr>
              <w:spacing w:before="0" w:after="0" w:line="252" w:lineRule="auto"/>
            </w:pPr>
            <w:r>
              <w:rPr>
                <w:rFonts w:ascii="Calibri" w:hAnsi="Calibri"/>
                <w:b w:val="0"/>
                <w:i w:val="0"/>
                <w:color w:val="1F2937"/>
                <w:sz w:val="17"/>
              </w:rPr>
              <w:t>Under 1 second</w:t>
            </w:r>
          </w:p>
        </w:tc>
      </w:tr>
      <w:tr>
        <w:trPr>
          <w:cantSplit/>
        </w:trPr>
        <w:tc>
          <w:tcPr>
            <w:tcW w:type="dxa" w:w="2200"/>
            <w:shd w:fill="F7F9FB"/>
          </w:tcPr>
          <w:p>
            <w:pPr>
              <w:spacing w:before="0" w:after="0" w:line="252" w:lineRule="auto"/>
            </w:pPr>
            <w:r>
              <w:rPr>
                <w:rFonts w:ascii="Calibri" w:hAnsi="Calibri"/>
                <w:b w:val="0"/>
                <w:i w:val="0"/>
                <w:color w:val="1F2937"/>
                <w:sz w:val="17"/>
              </w:rPr>
              <w:t>Search result cap</w:t>
            </w:r>
          </w:p>
        </w:tc>
        <w:tc>
          <w:tcPr>
            <w:tcW w:type="dxa" w:w="7160"/>
            <w:shd w:fill="F7F9FB"/>
          </w:tcPr>
          <w:p>
            <w:pPr>
              <w:spacing w:before="0" w:after="0" w:line="252" w:lineRule="auto"/>
            </w:pPr>
            <w:r>
              <w:rPr>
                <w:rFonts w:ascii="Calibri" w:hAnsi="Calibri"/>
                <w:b w:val="0"/>
                <w:i w:val="0"/>
                <w:color w:val="1F2937"/>
                <w:sz w:val="17"/>
              </w:rPr>
              <w:t>Bounded, cursor-paginated</w:t>
            </w:r>
          </w:p>
        </w:tc>
      </w:tr>
      <w:tr>
        <w:trPr>
          <w:cantSplit/>
        </w:trPr>
        <w:tc>
          <w:tcPr>
            <w:tcW w:type="dxa" w:w="2200"/>
          </w:tcPr>
          <w:p>
            <w:pPr>
              <w:spacing w:before="0" w:after="0" w:line="252" w:lineRule="auto"/>
            </w:pPr>
            <w:r>
              <w:rPr>
                <w:rFonts w:ascii="Calibri" w:hAnsi="Calibri"/>
                <w:b w:val="0"/>
                <w:i w:val="0"/>
                <w:color w:val="1F2937"/>
                <w:sz w:val="17"/>
              </w:rPr>
              <w:t>Availability target</w:t>
            </w:r>
          </w:p>
        </w:tc>
        <w:tc>
          <w:tcPr>
            <w:tcW w:type="dxa" w:w="7160"/>
          </w:tcPr>
          <w:p>
            <w:pPr>
              <w:spacing w:before="0" w:after="0" w:line="252" w:lineRule="auto"/>
            </w:pPr>
            <w:r>
              <w:rPr>
                <w:rFonts w:ascii="Calibri" w:hAnsi="Calibri"/>
                <w:b w:val="0"/>
                <w:i w:val="0"/>
                <w:color w:val="1F2937"/>
                <w:sz w:val="17"/>
              </w:rPr>
              <w:t>99.9% monthly after paid production launch</w:t>
            </w:r>
          </w:p>
        </w:tc>
      </w:tr>
    </w:tbl>
    <w:p>
      <w:pPr>
        <w:spacing w:after="0"/>
      </w:pPr>
    </w:p>
    <w:p>
      <w:pPr>
        <w:spacing w:after="120" w:line="300" w:lineRule="auto"/>
      </w:pPr>
      <w:r>
        <w:rPr>
          <w:rFonts w:ascii="Calibri" w:hAnsi="Calibri"/>
          <w:b w:val="0"/>
          <w:i w:val="0"/>
          <w:color w:val="1F2937"/>
          <w:sz w:val="22"/>
        </w:rPr>
        <w:t>Load tests cover at least expected pilot traffic plus a justified burst factor, public search, inquiry spikes, simultaneous approvals, uploads and outbox backlog. Provider quotas and free-plan limitations are documented before pilot.</w:t>
      </w:r>
    </w:p>
    <w:p>
      <w:pPr>
        <w:pStyle w:val="Heading1"/>
      </w:pPr>
      <w:r>
        <w:t>11. CI pipeline</w:t>
      </w:r>
    </w:p>
    <w:p>
      <w:pPr>
        <w:spacing w:after="120" w:line="300" w:lineRule="auto"/>
      </w:pPr>
      <w:r>
        <w:rPr>
          <w:rFonts w:ascii="Calibri" w:hAnsi="Calibri"/>
          <w:b w:val="0"/>
          <w:i w:val="0"/>
          <w:color w:val="1F2937"/>
          <w:sz w:val="22"/>
        </w:rPr>
        <w:t>On each pull request:</w:t>
      </w:r>
    </w:p>
    <w:p>
      <w:pPr>
        <w:pStyle w:val="ListNumber"/>
        <w:ind w:left="540" w:hanging="271"/>
      </w:pPr>
      <w:r>
        <w:rPr>
          <w:rFonts w:ascii="Calibri" w:hAnsi="Calibri"/>
          <w:b w:val="0"/>
          <w:i w:val="0"/>
          <w:color w:val="1F2937"/>
          <w:sz w:val="22"/>
        </w:rPr>
        <w:t>Reproducible dependency install from lockfile.</w:t>
      </w:r>
    </w:p>
    <w:p>
      <w:pPr>
        <w:pStyle w:val="ListNumber"/>
        <w:ind w:left="540" w:hanging="271"/>
      </w:pPr>
      <w:r>
        <w:rPr>
          <w:rFonts w:ascii="Calibri" w:hAnsi="Calibri"/>
          <w:b w:val="0"/>
          <w:i w:val="0"/>
          <w:color w:val="1F2937"/>
          <w:sz w:val="22"/>
        </w:rPr>
        <w:t>Secret and credential-pattern scan.</w:t>
      </w:r>
    </w:p>
    <w:p>
      <w:pPr>
        <w:pStyle w:val="ListNumber"/>
        <w:ind w:left="540" w:hanging="271"/>
      </w:pPr>
      <w:r>
        <w:rPr>
          <w:rFonts w:ascii="Calibri" w:hAnsi="Calibri"/>
          <w:b w:val="0"/>
          <w:i w:val="0"/>
          <w:color w:val="1F2937"/>
          <w:sz w:val="22"/>
        </w:rPr>
        <w:t>Lint and TypeScript checks.</w:t>
      </w:r>
    </w:p>
    <w:p>
      <w:pPr>
        <w:pStyle w:val="ListNumber"/>
        <w:ind w:left="540" w:hanging="271"/>
      </w:pPr>
      <w:r>
        <w:rPr>
          <w:rFonts w:ascii="Calibri" w:hAnsi="Calibri"/>
          <w:b w:val="0"/>
          <w:i w:val="0"/>
          <w:color w:val="1F2937"/>
          <w:sz w:val="22"/>
        </w:rPr>
        <w:t>Unit and component tests.</w:t>
      </w:r>
    </w:p>
    <w:p>
      <w:pPr>
        <w:pStyle w:val="ListNumber"/>
        <w:ind w:left="540" w:hanging="271"/>
      </w:pPr>
      <w:r>
        <w:rPr>
          <w:rFonts w:ascii="Calibri" w:hAnsi="Calibri"/>
          <w:b w:val="0"/>
          <w:i w:val="0"/>
          <w:color w:val="1F2937"/>
          <w:sz w:val="22"/>
        </w:rPr>
        <w:t>Build production bundle.</w:t>
      </w:r>
    </w:p>
    <w:p>
      <w:pPr>
        <w:pStyle w:val="ListNumber"/>
        <w:ind w:left="540" w:hanging="271"/>
      </w:pPr>
      <w:r>
        <w:rPr>
          <w:rFonts w:ascii="Calibri" w:hAnsi="Calibri"/>
          <w:b w:val="0"/>
          <w:i w:val="0"/>
          <w:color w:val="1F2937"/>
          <w:sz w:val="22"/>
        </w:rPr>
        <w:t>Start isolated Supabase test stack/project and apply migrations from zero.</w:t>
      </w:r>
    </w:p>
    <w:p>
      <w:pPr>
        <w:pStyle w:val="ListNumber"/>
        <w:ind w:left="540" w:hanging="271"/>
      </w:pPr>
      <w:r>
        <w:rPr>
          <w:rFonts w:ascii="Calibri" w:hAnsi="Calibri"/>
          <w:b w:val="0"/>
          <w:i w:val="0"/>
          <w:color w:val="1F2937"/>
          <w:sz w:val="22"/>
        </w:rPr>
        <w:t>Database constraints and RLS tests.</w:t>
      </w:r>
    </w:p>
    <w:p>
      <w:pPr>
        <w:pStyle w:val="ListNumber"/>
        <w:ind w:left="540" w:hanging="271"/>
      </w:pPr>
      <w:r>
        <w:rPr>
          <w:rFonts w:ascii="Calibri" w:hAnsi="Calibri"/>
          <w:b w:val="0"/>
          <w:i w:val="0"/>
          <w:color w:val="1F2937"/>
          <w:sz w:val="22"/>
        </w:rPr>
        <w:t>Integration and API contract tests.</w:t>
      </w:r>
    </w:p>
    <w:p>
      <w:pPr>
        <w:pStyle w:val="ListNumber"/>
        <w:ind w:left="540" w:hanging="271"/>
      </w:pPr>
      <w:r>
        <w:rPr>
          <w:rFonts w:ascii="Calibri" w:hAnsi="Calibri"/>
          <w:b w:val="0"/>
          <w:i w:val="0"/>
          <w:color w:val="1F2937"/>
          <w:sz w:val="22"/>
        </w:rPr>
        <w:t>Vercel preview deployment.</w:t>
      </w:r>
    </w:p>
    <w:p>
      <w:pPr>
        <w:pStyle w:val="ListNumber"/>
        <w:ind w:left="540" w:hanging="271"/>
      </w:pPr>
      <w:r>
        <w:rPr>
          <w:rFonts w:ascii="Calibri" w:hAnsi="Calibri"/>
          <w:b w:val="0"/>
          <w:i w:val="0"/>
          <w:color w:val="1F2937"/>
          <w:sz w:val="22"/>
        </w:rPr>
        <w:t>Smoke and end-to-end tests against preview.</w:t>
      </w:r>
    </w:p>
    <w:p>
      <w:pPr>
        <w:pStyle w:val="ListNumber"/>
        <w:ind w:left="540" w:hanging="271"/>
      </w:pPr>
      <w:r>
        <w:rPr>
          <w:rFonts w:ascii="Calibri" w:hAnsi="Calibri"/>
          <w:b w:val="0"/>
          <w:i w:val="0"/>
          <w:color w:val="1F2937"/>
          <w:sz w:val="22"/>
        </w:rPr>
        <w:t>Accessibility and security-header checks.</w:t>
      </w:r>
    </w:p>
    <w:p>
      <w:pPr>
        <w:pStyle w:val="ListNumber"/>
        <w:ind w:left="540" w:hanging="271"/>
      </w:pPr>
      <w:r>
        <w:rPr>
          <w:rFonts w:ascii="Calibri" w:hAnsi="Calibri"/>
          <w:b w:val="0"/>
          <w:i w:val="0"/>
          <w:color w:val="1F2937"/>
          <w:sz w:val="22"/>
        </w:rPr>
        <w:t>Human preview review and required approval.</w:t>
      </w:r>
    </w:p>
    <w:p>
      <w:pPr>
        <w:spacing w:after="120" w:line="300" w:lineRule="auto"/>
      </w:pPr>
      <w:r>
        <w:rPr>
          <w:rFonts w:ascii="Calibri" w:hAnsi="Calibri"/>
          <w:b w:val="0"/>
          <w:i w:val="0"/>
          <w:color w:val="1F2937"/>
          <w:sz w:val="22"/>
        </w:rPr>
        <w:t>Production promotion is blocked on failures. Emergency changes still require a reviewed commit, minimum automated checks and a written incident/change record.</w:t>
      </w:r>
    </w:p>
    <w:p>
      <w:pPr>
        <w:pStyle w:val="Heading1"/>
      </w:pPr>
      <w:r>
        <w:t>12. Branch and review policy</w:t>
      </w:r>
    </w:p>
    <w:p>
      <w:pPr>
        <w:pStyle w:val="ListBullet"/>
        <w:ind w:left="540" w:hanging="271"/>
      </w:pPr>
      <w:r>
        <w:rPr>
          <w:rFonts w:ascii="Calibri" w:hAnsi="Calibri"/>
          <w:b w:val="0"/>
          <w:i w:val="0"/>
          <w:color w:val="1F2937"/>
          <w:sz w:val="22"/>
        </w:rPr>
        <w:t>main is protected and always releasable.</w:t>
      </w:r>
    </w:p>
    <w:p>
      <w:pPr>
        <w:pStyle w:val="ListBullet"/>
        <w:ind w:left="540" w:hanging="271"/>
      </w:pPr>
      <w:r>
        <w:rPr>
          <w:rFonts w:ascii="Calibri" w:hAnsi="Calibri"/>
          <w:b w:val="0"/>
          <w:i w:val="0"/>
          <w:color w:val="1F2937"/>
          <w:sz w:val="22"/>
        </w:rPr>
        <w:t>Feature work uses short-lived branches and pull requests.</w:t>
      </w:r>
    </w:p>
    <w:p>
      <w:pPr>
        <w:pStyle w:val="ListBullet"/>
        <w:ind w:left="540" w:hanging="271"/>
      </w:pPr>
      <w:r>
        <w:rPr>
          <w:rFonts w:ascii="Calibri" w:hAnsi="Calibri"/>
          <w:b w:val="0"/>
          <w:i w:val="0"/>
          <w:color w:val="1F2937"/>
          <w:sz w:val="22"/>
        </w:rPr>
        <w:t>At least one reviewer approves normal changes; database authorization, billing, authentication and admin changes require a security-aware reviewer.</w:t>
      </w:r>
    </w:p>
    <w:p>
      <w:pPr>
        <w:pStyle w:val="ListBullet"/>
        <w:ind w:left="540" w:hanging="271"/>
      </w:pPr>
      <w:r>
        <w:rPr>
          <w:rFonts w:ascii="Calibri" w:hAnsi="Calibri"/>
          <w:b w:val="0"/>
          <w:i w:val="0"/>
          <w:color w:val="1F2937"/>
          <w:sz w:val="22"/>
        </w:rPr>
        <w:t>No direct production edits in Vercel or Supabase except documented emergency response.</w:t>
      </w:r>
    </w:p>
    <w:p>
      <w:pPr>
        <w:pStyle w:val="ListBullet"/>
        <w:ind w:left="540" w:hanging="271"/>
      </w:pPr>
      <w:r>
        <w:rPr>
          <w:rFonts w:ascii="Calibri" w:hAnsi="Calibri"/>
          <w:b w:val="0"/>
          <w:i w:val="0"/>
          <w:color w:val="1F2937"/>
          <w:sz w:val="22"/>
        </w:rPr>
        <w:t>All schema changes are migrations in Git.</w:t>
      </w:r>
    </w:p>
    <w:p>
      <w:pPr>
        <w:pStyle w:val="ListBullet"/>
        <w:ind w:left="540" w:hanging="271"/>
      </w:pPr>
      <w:r>
        <w:rPr>
          <w:rFonts w:ascii="Calibri" w:hAnsi="Calibri"/>
          <w:b w:val="0"/>
          <w:i w:val="0"/>
          <w:color w:val="1F2937"/>
          <w:sz w:val="22"/>
        </w:rPr>
        <w:t>Pull requests include purpose, screenshots, test evidence, migration/rollback impact, security/privacy impact and documentation changes.</w:t>
      </w:r>
    </w:p>
    <w:p>
      <w:pPr>
        <w:pStyle w:val="Heading1"/>
      </w:pPr>
      <w:r>
        <w:t>13. Deployment sequence</w:t>
      </w:r>
    </w:p>
    <w:p>
      <w:pPr>
        <w:pStyle w:val="ListNumber"/>
        <w:ind w:left="540" w:hanging="271"/>
      </w:pPr>
      <w:r>
        <w:rPr>
          <w:rFonts w:ascii="Calibri" w:hAnsi="Calibri"/>
          <w:b w:val="0"/>
          <w:i w:val="0"/>
          <w:color w:val="1F2937"/>
          <w:sz w:val="22"/>
        </w:rPr>
        <w:t>Merge an approved pull request.</w:t>
      </w:r>
    </w:p>
    <w:p>
      <w:pPr>
        <w:pStyle w:val="ListNumber"/>
        <w:ind w:left="540" w:hanging="271"/>
      </w:pPr>
      <w:r>
        <w:rPr>
          <w:rFonts w:ascii="Calibri" w:hAnsi="Calibri"/>
          <w:b w:val="0"/>
          <w:i w:val="0"/>
          <w:color w:val="1F2937"/>
          <w:sz w:val="22"/>
        </w:rPr>
        <w:t>Build a production candidate with production-scoped configuration.</w:t>
      </w:r>
    </w:p>
    <w:p>
      <w:pPr>
        <w:pStyle w:val="ListNumber"/>
        <w:ind w:left="540" w:hanging="271"/>
      </w:pPr>
      <w:r>
        <w:rPr>
          <w:rFonts w:ascii="Calibri" w:hAnsi="Calibri"/>
          <w:b w:val="0"/>
          <w:i w:val="0"/>
          <w:color w:val="1F2937"/>
          <w:sz w:val="22"/>
        </w:rPr>
        <w:t>Verify database backup/restore point and migration compatibility.</w:t>
      </w:r>
    </w:p>
    <w:p>
      <w:pPr>
        <w:pStyle w:val="ListNumber"/>
        <w:ind w:left="540" w:hanging="271"/>
      </w:pPr>
      <w:r>
        <w:rPr>
          <w:rFonts w:ascii="Calibri" w:hAnsi="Calibri"/>
          <w:b w:val="0"/>
          <w:i w:val="0"/>
          <w:color w:val="1F2937"/>
          <w:sz w:val="22"/>
        </w:rPr>
        <w:t>Apply backward-compatible migrations.</w:t>
      </w:r>
    </w:p>
    <w:p>
      <w:pPr>
        <w:pStyle w:val="ListNumber"/>
        <w:ind w:left="540" w:hanging="271"/>
      </w:pPr>
      <w:r>
        <w:rPr>
          <w:rFonts w:ascii="Calibri" w:hAnsi="Calibri"/>
          <w:b w:val="0"/>
          <w:i w:val="0"/>
          <w:color w:val="1F2937"/>
          <w:sz w:val="22"/>
        </w:rPr>
        <w:t>Deploy application with new code paths disabled if necessary.</w:t>
      </w:r>
    </w:p>
    <w:p>
      <w:pPr>
        <w:pStyle w:val="ListNumber"/>
        <w:ind w:left="540" w:hanging="271"/>
      </w:pPr>
      <w:r>
        <w:rPr>
          <w:rFonts w:ascii="Calibri" w:hAnsi="Calibri"/>
          <w:b w:val="0"/>
          <w:i w:val="0"/>
          <w:color w:val="1F2937"/>
          <w:sz w:val="22"/>
        </w:rPr>
        <w:t>Run production smoke checks.</w:t>
      </w:r>
    </w:p>
    <w:p>
      <w:pPr>
        <w:pStyle w:val="ListNumber"/>
        <w:ind w:left="540" w:hanging="271"/>
      </w:pPr>
      <w:r>
        <w:rPr>
          <w:rFonts w:ascii="Calibri" w:hAnsi="Calibri"/>
          <w:b w:val="0"/>
          <w:i w:val="0"/>
          <w:color w:val="1F2937"/>
          <w:sz w:val="22"/>
        </w:rPr>
        <w:t>Enable feature flag gradually.</w:t>
      </w:r>
    </w:p>
    <w:p>
      <w:pPr>
        <w:pStyle w:val="ListNumber"/>
        <w:ind w:left="540" w:hanging="271"/>
      </w:pPr>
      <w:r>
        <w:rPr>
          <w:rFonts w:ascii="Calibri" w:hAnsi="Calibri"/>
          <w:b w:val="0"/>
          <w:i w:val="0"/>
          <w:color w:val="1F2937"/>
          <w:sz w:val="22"/>
        </w:rPr>
        <w:t>Monitor errors, latency, RLS denials, outbox, payments and publication.</w:t>
      </w:r>
    </w:p>
    <w:p>
      <w:pPr>
        <w:pStyle w:val="ListNumber"/>
        <w:ind w:left="540" w:hanging="271"/>
      </w:pPr>
      <w:r>
        <w:rPr>
          <w:rFonts w:ascii="Calibri" w:hAnsi="Calibri"/>
          <w:b w:val="0"/>
          <w:i w:val="0"/>
          <w:color w:val="1F2937"/>
          <w:sz w:val="22"/>
        </w:rPr>
        <w:t>Record release version, commit, migration and approver.</w:t>
      </w:r>
    </w:p>
    <w:p>
      <w:pPr>
        <w:spacing w:after="120" w:line="300" w:lineRule="auto"/>
      </w:pPr>
      <w:r>
        <w:rPr>
          <w:rFonts w:ascii="Calibri" w:hAnsi="Calibri"/>
          <w:b w:val="0"/>
          <w:i w:val="0"/>
          <w:color w:val="1F2937"/>
          <w:sz w:val="22"/>
        </w:rPr>
        <w:t>Use expand-and-contract migrations: add compatible structures, deploy code that can use both states, backfill safely, switch reads/writes, then remove obsolete structures in a later release.</w:t>
      </w:r>
    </w:p>
    <w:p>
      <w:pPr>
        <w:pStyle w:val="Heading1"/>
      </w:pPr>
      <w:r>
        <w:t>14. Rollback and recovery</w:t>
      </w:r>
    </w:p>
    <w:p>
      <w:pPr>
        <w:spacing w:after="120" w:line="300" w:lineRule="auto"/>
      </w:pPr>
      <w:r>
        <w:rPr>
          <w:rFonts w:ascii="Calibri" w:hAnsi="Calibri"/>
          <w:b w:val="0"/>
          <w:i w:val="0"/>
          <w:color w:val="1F2937"/>
          <w:sz w:val="22"/>
        </w:rPr>
        <w:t>Application rollback uses a known-good Vercel production deployment. Because platform rollback does not reverse database migrations or restore changed environment variables, every release includes a database compatibility/rollback plan.</w:t>
      </w:r>
    </w:p>
    <w:p>
      <w:pPr>
        <w:spacing w:after="120" w:line="300" w:lineRule="auto"/>
      </w:pPr>
      <w:r>
        <w:rPr>
          <w:rFonts w:ascii="Calibri" w:hAnsi="Calibri"/>
          <w:b w:val="0"/>
          <w:i w:val="0"/>
          <w:color w:val="1F2937"/>
          <w:sz w:val="22"/>
        </w:rPr>
        <w:t>Database rules:</w:t>
      </w:r>
    </w:p>
    <w:p>
      <w:pPr>
        <w:pStyle w:val="ListBullet"/>
        <w:ind w:left="540" w:hanging="271"/>
      </w:pPr>
      <w:r>
        <w:rPr>
          <w:rFonts w:ascii="Calibri" w:hAnsi="Calibri"/>
          <w:b w:val="0"/>
          <w:i w:val="0"/>
          <w:color w:val="1F2937"/>
          <w:sz w:val="22"/>
        </w:rPr>
        <w:t>Prefer forward fixes for additive migrations.</w:t>
      </w:r>
    </w:p>
    <w:p>
      <w:pPr>
        <w:pStyle w:val="ListBullet"/>
        <w:ind w:left="540" w:hanging="271"/>
      </w:pPr>
      <w:r>
        <w:rPr>
          <w:rFonts w:ascii="Calibri" w:hAnsi="Calibri"/>
          <w:b w:val="0"/>
          <w:i w:val="0"/>
          <w:color w:val="1F2937"/>
          <w:sz w:val="22"/>
        </w:rPr>
        <w:t>Never run a destructive migration without a verified backup, retention decision and staged rehearsal.</w:t>
      </w:r>
    </w:p>
    <w:p>
      <w:pPr>
        <w:pStyle w:val="ListBullet"/>
        <w:ind w:left="540" w:hanging="271"/>
      </w:pPr>
      <w:r>
        <w:rPr>
          <w:rFonts w:ascii="Calibri" w:hAnsi="Calibri"/>
          <w:b w:val="0"/>
          <w:i w:val="0"/>
          <w:color w:val="1F2937"/>
          <w:sz w:val="22"/>
        </w:rPr>
        <w:t>Make background jobs idempotent and safe to pause.</w:t>
      </w:r>
    </w:p>
    <w:p>
      <w:pPr>
        <w:pStyle w:val="ListBullet"/>
        <w:ind w:left="540" w:hanging="271"/>
      </w:pPr>
      <w:r>
        <w:rPr>
          <w:rFonts w:ascii="Calibri" w:hAnsi="Calibri"/>
          <w:b w:val="0"/>
          <w:i w:val="0"/>
          <w:color w:val="1F2937"/>
          <w:sz w:val="22"/>
        </w:rPr>
        <w:t>Pause publication/integration workers during inconsistent states.</w:t>
      </w:r>
    </w:p>
    <w:p>
      <w:pPr>
        <w:pStyle w:val="ListBullet"/>
        <w:ind w:left="540" w:hanging="271"/>
      </w:pPr>
      <w:r>
        <w:rPr>
          <w:rFonts w:ascii="Calibri" w:hAnsi="Calibri"/>
          <w:b w:val="0"/>
          <w:i w:val="0"/>
          <w:color w:val="1F2937"/>
          <w:sz w:val="22"/>
        </w:rPr>
        <w:t>Record manual data repair as an audited migration or script.</w:t>
      </w:r>
    </w:p>
    <w:p>
      <w:pPr>
        <w:pStyle w:val="Heading1"/>
      </w:pPr>
      <w:r>
        <w:t>15. Backup and disaster recovery</w:t>
      </w:r>
    </w:p>
    <w:p>
      <w:pPr>
        <w:spacing w:after="120" w:line="300" w:lineRule="auto"/>
      </w:pPr>
      <w:r>
        <w:rPr>
          <w:rFonts w:ascii="Calibri" w:hAnsi="Calibri"/>
          <w:b w:val="0"/>
          <w:i w:val="0"/>
          <w:color w:val="1F2937"/>
          <w:sz w:val="22"/>
        </w:rPr>
        <w:t>Before live pilot data:</w:t>
      </w:r>
    </w:p>
    <w:p>
      <w:pPr>
        <w:pStyle w:val="ListBullet"/>
        <w:ind w:left="540" w:hanging="271"/>
      </w:pPr>
      <w:r>
        <w:rPr>
          <w:rFonts w:ascii="Calibri" w:hAnsi="Calibri"/>
          <w:b w:val="0"/>
          <w:i w:val="0"/>
          <w:color w:val="1F2937"/>
          <w:sz w:val="22"/>
        </w:rPr>
        <w:t>Select a Supabase plan/tier that satisfies approved backup retention and point-in-time requirements.</w:t>
      </w:r>
    </w:p>
    <w:p>
      <w:pPr>
        <w:pStyle w:val="ListBullet"/>
        <w:ind w:left="540" w:hanging="271"/>
      </w:pPr>
      <w:r>
        <w:rPr>
          <w:rFonts w:ascii="Calibri" w:hAnsi="Calibri"/>
          <w:b w:val="0"/>
          <w:i w:val="0"/>
          <w:color w:val="1F2937"/>
          <w:sz w:val="22"/>
        </w:rPr>
        <w:t>Define RPO and RTO with the business.</w:t>
      </w:r>
    </w:p>
    <w:p>
      <w:pPr>
        <w:pStyle w:val="ListBullet"/>
        <w:ind w:left="540" w:hanging="271"/>
      </w:pPr>
      <w:r>
        <w:rPr>
          <w:rFonts w:ascii="Calibri" w:hAnsi="Calibri"/>
          <w:b w:val="0"/>
          <w:i w:val="0"/>
          <w:color w:val="1F2937"/>
          <w:sz w:val="22"/>
        </w:rPr>
        <w:t>Include database, auth configuration, storage objects, integration mappings and secrets inventory in recovery planning.</w:t>
      </w:r>
    </w:p>
    <w:p>
      <w:pPr>
        <w:pStyle w:val="ListBullet"/>
        <w:ind w:left="540" w:hanging="271"/>
      </w:pPr>
      <w:r>
        <w:rPr>
          <w:rFonts w:ascii="Calibri" w:hAnsi="Calibri"/>
          <w:b w:val="0"/>
          <w:i w:val="0"/>
          <w:color w:val="1F2937"/>
          <w:sz w:val="22"/>
        </w:rPr>
        <w:t>Store infrastructure/configuration documentation outside the production system.</w:t>
      </w:r>
    </w:p>
    <w:p>
      <w:pPr>
        <w:pStyle w:val="ListBullet"/>
        <w:ind w:left="540" w:hanging="271"/>
      </w:pPr>
      <w:r>
        <w:rPr>
          <w:rFonts w:ascii="Calibri" w:hAnsi="Calibri"/>
          <w:b w:val="0"/>
          <w:i w:val="0"/>
          <w:color w:val="1F2937"/>
          <w:sz w:val="22"/>
        </w:rPr>
        <w:t>Perform a staging restore drill and record duration, completeness and gaps.</w:t>
      </w:r>
    </w:p>
    <w:p>
      <w:pPr>
        <w:pStyle w:val="ListBullet"/>
        <w:ind w:left="540" w:hanging="271"/>
      </w:pPr>
      <w:r>
        <w:rPr>
          <w:rFonts w:ascii="Calibri" w:hAnsi="Calibri"/>
          <w:b w:val="0"/>
          <w:i w:val="0"/>
          <w:color w:val="1F2937"/>
          <w:sz w:val="22"/>
        </w:rPr>
        <w:t>Repeat restore tests at least quarterly and after material architecture changes.</w:t>
      </w:r>
    </w:p>
    <w:p>
      <w:pPr>
        <w:pStyle w:val="Heading1"/>
      </w:pPr>
      <w:r>
        <w:t>16. Monitoring and release health</w:t>
      </w:r>
    </w:p>
    <w:p>
      <w:pPr>
        <w:spacing w:after="120" w:line="300" w:lineRule="auto"/>
      </w:pPr>
      <w:r>
        <w:rPr>
          <w:rFonts w:ascii="Calibri" w:hAnsi="Calibri"/>
          <w:b w:val="0"/>
          <w:i w:val="0"/>
          <w:color w:val="1F2937"/>
          <w:sz w:val="22"/>
        </w:rPr>
        <w:t>Monitor:</w:t>
      </w:r>
    </w:p>
    <w:p>
      <w:pPr>
        <w:pStyle w:val="ListBullet"/>
        <w:ind w:left="540" w:hanging="271"/>
      </w:pPr>
      <w:r>
        <w:rPr>
          <w:rFonts w:ascii="Calibri" w:hAnsi="Calibri"/>
          <w:b w:val="0"/>
          <w:i w:val="0"/>
          <w:color w:val="1F2937"/>
          <w:sz w:val="22"/>
        </w:rPr>
        <w:t>public availability and Core Web Vitals;</w:t>
      </w:r>
    </w:p>
    <w:p>
      <w:pPr>
        <w:pStyle w:val="ListBullet"/>
        <w:ind w:left="540" w:hanging="271"/>
      </w:pPr>
      <w:r>
        <w:rPr>
          <w:rFonts w:ascii="Calibri" w:hAnsi="Calibri"/>
          <w:b w:val="0"/>
          <w:i w:val="0"/>
          <w:color w:val="1F2937"/>
          <w:sz w:val="22"/>
        </w:rPr>
        <w:t>error rate and latency by route;</w:t>
      </w:r>
    </w:p>
    <w:p>
      <w:pPr>
        <w:pStyle w:val="ListBullet"/>
        <w:ind w:left="540" w:hanging="271"/>
      </w:pPr>
      <w:r>
        <w:rPr>
          <w:rFonts w:ascii="Calibri" w:hAnsi="Calibri"/>
          <w:b w:val="0"/>
          <w:i w:val="0"/>
          <w:color w:val="1F2937"/>
          <w:sz w:val="22"/>
        </w:rPr>
        <w:t>sign-in/reset anomalies;</w:t>
      </w:r>
    </w:p>
    <w:p>
      <w:pPr>
        <w:pStyle w:val="ListBullet"/>
        <w:ind w:left="540" w:hanging="271"/>
      </w:pPr>
      <w:r>
        <w:rPr>
          <w:rFonts w:ascii="Calibri" w:hAnsi="Calibri"/>
          <w:b w:val="0"/>
          <w:i w:val="0"/>
          <w:color w:val="1F2937"/>
          <w:sz w:val="22"/>
        </w:rPr>
        <w:t>authorization denials and cross-tenant probes;</w:t>
      </w:r>
    </w:p>
    <w:p>
      <w:pPr>
        <w:pStyle w:val="ListBullet"/>
        <w:ind w:left="540" w:hanging="271"/>
      </w:pPr>
      <w:r>
        <w:rPr>
          <w:rFonts w:ascii="Calibri" w:hAnsi="Calibri"/>
          <w:b w:val="0"/>
          <w:i w:val="0"/>
          <w:color w:val="1F2937"/>
          <w:sz w:val="22"/>
        </w:rPr>
        <w:t>approval/publication failures;</w:t>
      </w:r>
    </w:p>
    <w:p>
      <w:pPr>
        <w:pStyle w:val="ListBullet"/>
        <w:ind w:left="540" w:hanging="271"/>
      </w:pPr>
      <w:r>
        <w:rPr>
          <w:rFonts w:ascii="Calibri" w:hAnsi="Calibri"/>
          <w:b w:val="0"/>
          <w:i w:val="0"/>
          <w:color w:val="1F2937"/>
          <w:sz w:val="22"/>
        </w:rPr>
        <w:t>stale public snapshots;</w:t>
      </w:r>
    </w:p>
    <w:p>
      <w:pPr>
        <w:pStyle w:val="ListBullet"/>
        <w:ind w:left="540" w:hanging="271"/>
      </w:pPr>
      <w:r>
        <w:rPr>
          <w:rFonts w:ascii="Calibri" w:hAnsi="Calibri"/>
          <w:b w:val="0"/>
          <w:i w:val="0"/>
          <w:color w:val="1F2937"/>
          <w:sz w:val="22"/>
        </w:rPr>
        <w:t>upload failures and storage use;</w:t>
      </w:r>
    </w:p>
    <w:p>
      <w:pPr>
        <w:pStyle w:val="ListBullet"/>
        <w:ind w:left="540" w:hanging="271"/>
      </w:pPr>
      <w:r>
        <w:rPr>
          <w:rFonts w:ascii="Calibri" w:hAnsi="Calibri"/>
          <w:b w:val="0"/>
          <w:i w:val="0"/>
          <w:color w:val="1F2937"/>
          <w:sz w:val="22"/>
        </w:rPr>
        <w:t>outbox depth, retry and dead-letter counts;</w:t>
      </w:r>
    </w:p>
    <w:p>
      <w:pPr>
        <w:pStyle w:val="ListBullet"/>
        <w:ind w:left="540" w:hanging="271"/>
      </w:pPr>
      <w:r>
        <w:rPr>
          <w:rFonts w:ascii="Calibri" w:hAnsi="Calibri"/>
          <w:b w:val="0"/>
          <w:i w:val="0"/>
          <w:color w:val="1F2937"/>
          <w:sz w:val="22"/>
        </w:rPr>
        <w:t>payment webhook and reconciliation errors;</w:t>
      </w:r>
    </w:p>
    <w:p>
      <w:pPr>
        <w:pStyle w:val="ListBullet"/>
        <w:ind w:left="540" w:hanging="271"/>
      </w:pPr>
      <w:r>
        <w:rPr>
          <w:rFonts w:ascii="Calibri" w:hAnsi="Calibri"/>
          <w:b w:val="0"/>
          <w:i w:val="0"/>
          <w:color w:val="1F2937"/>
          <w:sz w:val="22"/>
        </w:rPr>
        <w:t>feed acceptance/rejection;</w:t>
      </w:r>
    </w:p>
    <w:p>
      <w:pPr>
        <w:pStyle w:val="ListBullet"/>
        <w:ind w:left="540" w:hanging="271"/>
      </w:pPr>
      <w:r>
        <w:rPr>
          <w:rFonts w:ascii="Calibri" w:hAnsi="Calibri"/>
          <w:b w:val="0"/>
          <w:i w:val="0"/>
          <w:color w:val="1F2937"/>
          <w:sz w:val="22"/>
        </w:rPr>
        <w:t>database connections, CPU, storage and slow queries.</w:t>
      </w:r>
    </w:p>
    <w:p>
      <w:pPr>
        <w:spacing w:after="120" w:line="300" w:lineRule="auto"/>
      </w:pPr>
      <w:r>
        <w:rPr>
          <w:rFonts w:ascii="Calibri" w:hAnsi="Calibri"/>
          <w:b w:val="0"/>
          <w:i w:val="0"/>
          <w:color w:val="1F2937"/>
          <w:sz w:val="22"/>
        </w:rPr>
        <w:t>Every alert has severity, owner, response time and runbook. Logs use request IDs and exclude secrets, session material and unnecessary personal data.</w:t>
      </w:r>
    </w:p>
    <w:p>
      <w:pPr>
        <w:pStyle w:val="Heading1"/>
      </w:pPr>
      <w:r>
        <w:t>17. Client demo process</w:t>
      </w:r>
    </w:p>
    <w:p>
      <w:pPr>
        <w:spacing w:after="120" w:line="300" w:lineRule="auto"/>
      </w:pPr>
      <w:r>
        <w:rPr>
          <w:rFonts w:ascii="Calibri" w:hAnsi="Calibri"/>
          <w:b w:val="0"/>
          <w:i w:val="0"/>
          <w:color w:val="1F2937"/>
          <w:sz w:val="22"/>
        </w:rPr>
        <w:t>Each meaningful build receives a shareable preview URL and short release note covering what changed, what to test, known limitations and test accounts. Preview protection must allow the client to review without granting repository or project administration access. Use Vercel shareable access when available; do not add clients as code or infrastructure administrators merely to view the application.</w:t>
      </w:r>
    </w:p>
    <w:p>
      <w:pPr>
        <w:pStyle w:val="Heading1"/>
      </w:pPr>
      <w:r>
        <w:t>18. Release readiness checklist</w:t>
      </w:r>
    </w:p>
    <w:p>
      <w:pPr>
        <w:pStyle w:val="ListBullet"/>
        <w:ind w:left="540" w:hanging="271"/>
      </w:pPr>
      <w:r>
        <w:rPr>
          <w:rFonts w:ascii="Calibri" w:hAnsi="Calibri"/>
          <w:b w:val="0"/>
          <w:i w:val="0"/>
          <w:color w:val="1F2937"/>
          <w:sz w:val="22"/>
        </w:rPr>
        <w:t>Acceptance criteria and regression suite pass.</w:t>
      </w:r>
    </w:p>
    <w:p>
      <w:pPr>
        <w:pStyle w:val="ListBullet"/>
        <w:ind w:left="540" w:hanging="271"/>
      </w:pPr>
      <w:r>
        <w:rPr>
          <w:rFonts w:ascii="Calibri" w:hAnsi="Calibri"/>
          <w:b w:val="0"/>
          <w:i w:val="0"/>
          <w:color w:val="1F2937"/>
          <w:sz w:val="22"/>
        </w:rPr>
        <w:t>Security controls and applicable threat mitigations pass.</w:t>
      </w:r>
    </w:p>
    <w:p>
      <w:pPr>
        <w:pStyle w:val="ListBullet"/>
        <w:ind w:left="540" w:hanging="271"/>
      </w:pPr>
      <w:r>
        <w:rPr>
          <w:rFonts w:ascii="Calibri" w:hAnsi="Calibri"/>
          <w:b w:val="0"/>
          <w:i w:val="0"/>
          <w:color w:val="1F2937"/>
          <w:sz w:val="22"/>
        </w:rPr>
        <w:t>RLS matrix and migration-from-zero pass.</w:t>
      </w:r>
    </w:p>
    <w:p>
      <w:pPr>
        <w:pStyle w:val="ListBullet"/>
        <w:ind w:left="540" w:hanging="271"/>
      </w:pPr>
      <w:r>
        <w:rPr>
          <w:rFonts w:ascii="Calibri" w:hAnsi="Calibri"/>
          <w:b w:val="0"/>
          <w:i w:val="0"/>
          <w:color w:val="1F2937"/>
          <w:sz w:val="22"/>
        </w:rPr>
        <w:t>Accessibility and responsive review pass.</w:t>
      </w:r>
    </w:p>
    <w:p>
      <w:pPr>
        <w:pStyle w:val="ListBullet"/>
        <w:ind w:left="540" w:hanging="271"/>
      </w:pPr>
      <w:r>
        <w:rPr>
          <w:rFonts w:ascii="Calibri" w:hAnsi="Calibri"/>
          <w:b w:val="0"/>
          <w:i w:val="0"/>
          <w:color w:val="1F2937"/>
          <w:sz w:val="22"/>
        </w:rPr>
        <w:t>Client/stakeholder acceptance is recorded.</w:t>
      </w:r>
    </w:p>
    <w:p>
      <w:pPr>
        <w:pStyle w:val="ListBullet"/>
        <w:ind w:left="540" w:hanging="271"/>
      </w:pPr>
      <w:r>
        <w:rPr>
          <w:rFonts w:ascii="Calibri" w:hAnsi="Calibri"/>
          <w:b w:val="0"/>
          <w:i w:val="0"/>
          <w:color w:val="1F2937"/>
          <w:sz w:val="22"/>
        </w:rPr>
        <w:t>Legal notices and provider terms are current.</w:t>
      </w:r>
    </w:p>
    <w:p>
      <w:pPr>
        <w:pStyle w:val="ListBullet"/>
        <w:ind w:left="540" w:hanging="271"/>
      </w:pPr>
      <w:r>
        <w:rPr>
          <w:rFonts w:ascii="Calibri" w:hAnsi="Calibri"/>
          <w:b w:val="0"/>
          <w:i w:val="0"/>
          <w:color w:val="1F2937"/>
          <w:sz w:val="22"/>
        </w:rPr>
        <w:t>Monitoring, alerts and runbooks are active.</w:t>
      </w:r>
    </w:p>
    <w:p>
      <w:pPr>
        <w:pStyle w:val="ListBullet"/>
        <w:ind w:left="540" w:hanging="271"/>
      </w:pPr>
      <w:r>
        <w:rPr>
          <w:rFonts w:ascii="Calibri" w:hAnsi="Calibri"/>
          <w:b w:val="0"/>
          <w:i w:val="0"/>
          <w:color w:val="1F2937"/>
          <w:sz w:val="22"/>
        </w:rPr>
        <w:t>Backup/restore evidence is current.</w:t>
      </w:r>
    </w:p>
    <w:p>
      <w:pPr>
        <w:pStyle w:val="ListBullet"/>
        <w:ind w:left="540" w:hanging="271"/>
      </w:pPr>
      <w:r>
        <w:rPr>
          <w:rFonts w:ascii="Calibri" w:hAnsi="Calibri"/>
          <w:b w:val="0"/>
          <w:i w:val="0"/>
          <w:color w:val="1F2937"/>
          <w:sz w:val="22"/>
        </w:rPr>
        <w:t>Rollback owner and decision point are named.</w:t>
      </w:r>
    </w:p>
    <w:p>
      <w:pPr>
        <w:pStyle w:val="ListBullet"/>
        <w:ind w:left="540" w:hanging="271"/>
      </w:pPr>
      <w:r>
        <w:rPr>
          <w:rFonts w:ascii="Calibri" w:hAnsi="Calibri"/>
          <w:b w:val="0"/>
          <w:i w:val="0"/>
          <w:color w:val="1F2937"/>
          <w:sz w:val="22"/>
        </w:rPr>
        <w:t>Release notes and technical documentation are updated.</w:t>
      </w:r>
    </w:p>
    <w:p>
      <w:pPr>
        <w:pStyle w:val="Heading1"/>
      </w:pPr>
      <w:r>
        <w:t>19. Pilot exit criteria</w:t>
      </w:r>
    </w:p>
    <w:p>
      <w:pPr>
        <w:pStyle w:val="ListBullet"/>
        <w:ind w:left="540" w:hanging="271"/>
      </w:pPr>
      <w:r>
        <w:rPr>
          <w:rFonts w:ascii="Calibri" w:hAnsi="Calibri"/>
          <w:b w:val="0"/>
          <w:i w:val="0"/>
          <w:color w:val="1F2937"/>
          <w:sz w:val="22"/>
        </w:rPr>
        <w:t>Core vertical slice works reliably for multiple brokerages.</w:t>
      </w:r>
    </w:p>
    <w:p>
      <w:pPr>
        <w:pStyle w:val="ListBullet"/>
        <w:ind w:left="540" w:hanging="271"/>
      </w:pPr>
      <w:r>
        <w:rPr>
          <w:rFonts w:ascii="Calibri" w:hAnsi="Calibri"/>
          <w:b w:val="0"/>
          <w:i w:val="0"/>
          <w:color w:val="1F2937"/>
          <w:sz w:val="22"/>
        </w:rPr>
        <w:t>No unresolved critical/high security finding.</w:t>
      </w:r>
    </w:p>
    <w:p>
      <w:pPr>
        <w:pStyle w:val="ListBullet"/>
        <w:ind w:left="540" w:hanging="271"/>
      </w:pPr>
      <w:r>
        <w:rPr>
          <w:rFonts w:ascii="Calibri" w:hAnsi="Calibri"/>
          <w:b w:val="0"/>
          <w:i w:val="0"/>
          <w:color w:val="1F2937"/>
          <w:sz w:val="22"/>
        </w:rPr>
        <w:t>No cross-tenant data exposure.</w:t>
      </w:r>
    </w:p>
    <w:p>
      <w:pPr>
        <w:pStyle w:val="ListBullet"/>
        <w:ind w:left="540" w:hanging="271"/>
      </w:pPr>
      <w:r>
        <w:rPr>
          <w:rFonts w:ascii="Calibri" w:hAnsi="Calibri"/>
          <w:b w:val="0"/>
          <w:i w:val="0"/>
          <w:color w:val="1F2937"/>
          <w:sz w:val="22"/>
        </w:rPr>
        <w:t>Approval/publication audit is complete and reconcilable.</w:t>
      </w:r>
    </w:p>
    <w:p>
      <w:pPr>
        <w:pStyle w:val="ListBullet"/>
        <w:ind w:left="540" w:hanging="271"/>
      </w:pPr>
      <w:r>
        <w:rPr>
          <w:rFonts w:ascii="Calibri" w:hAnsi="Calibri"/>
          <w:b w:val="0"/>
          <w:i w:val="0"/>
          <w:color w:val="1F2937"/>
          <w:sz w:val="22"/>
        </w:rPr>
        <w:t>Support response and incident process is tested.</w:t>
      </w:r>
    </w:p>
    <w:p>
      <w:pPr>
        <w:pStyle w:val="ListBullet"/>
        <w:ind w:left="540" w:hanging="271"/>
      </w:pPr>
      <w:r>
        <w:rPr>
          <w:rFonts w:ascii="Calibri" w:hAnsi="Calibri"/>
          <w:b w:val="0"/>
          <w:i w:val="0"/>
          <w:color w:val="1F2937"/>
          <w:sz w:val="22"/>
        </w:rPr>
        <w:t>Billing state reconciles with provider records.</w:t>
      </w:r>
    </w:p>
    <w:p>
      <w:pPr>
        <w:pStyle w:val="ListBullet"/>
        <w:ind w:left="540" w:hanging="271"/>
      </w:pPr>
      <w:r>
        <w:rPr>
          <w:rFonts w:ascii="Calibri" w:hAnsi="Calibri"/>
          <w:b w:val="0"/>
          <w:i w:val="0"/>
          <w:color w:val="1F2937"/>
          <w:sz w:val="22"/>
        </w:rPr>
        <w:t>Performance meets pilot targets under measured load.</w:t>
      </w:r>
    </w:p>
    <w:p>
      <w:pPr>
        <w:pStyle w:val="ListBullet"/>
        <w:ind w:left="540" w:hanging="271"/>
      </w:pPr>
      <w:r>
        <w:rPr>
          <w:rFonts w:ascii="Calibri" w:hAnsi="Calibri"/>
          <w:b w:val="0"/>
          <w:i w:val="0"/>
          <w:color w:val="1F2937"/>
          <w:sz w:val="22"/>
        </w:rPr>
        <w:t>At least one successful restore drill.</w:t>
      </w:r>
    </w:p>
    <w:p>
      <w:pPr>
        <w:pStyle w:val="ListBullet"/>
        <w:ind w:left="540" w:hanging="271"/>
      </w:pPr>
      <w:r>
        <w:rPr>
          <w:rFonts w:ascii="Calibri" w:hAnsi="Calibri"/>
          <w:b w:val="0"/>
          <w:i w:val="0"/>
          <w:color w:val="1F2937"/>
          <w:sz w:val="22"/>
        </w:rPr>
        <w:t>Pilot feedback is prioritized into the backlog.</w:t>
      </w:r>
    </w:p>
    <w:p>
      <w:pPr>
        <w:pStyle w:val="Heading1"/>
      </w:pPr>
      <w:r>
        <w:t>20. Open decisions</w:t>
      </w:r>
    </w:p>
    <w:p>
      <w:pPr>
        <w:pStyle w:val="ListBullet"/>
        <w:ind w:left="540" w:hanging="271"/>
      </w:pPr>
      <w:r>
        <w:rPr>
          <w:rFonts w:ascii="Calibri" w:hAnsi="Calibri"/>
          <w:b w:val="0"/>
          <w:i w:val="0"/>
          <w:color w:val="1F2937"/>
          <w:sz w:val="22"/>
        </w:rPr>
        <w:t>Test runner, browser automation and CI service configuration.</w:t>
      </w:r>
    </w:p>
    <w:p>
      <w:pPr>
        <w:pStyle w:val="ListBullet"/>
        <w:ind w:left="540" w:hanging="271"/>
      </w:pPr>
      <w:r>
        <w:rPr>
          <w:rFonts w:ascii="Calibri" w:hAnsi="Calibri"/>
          <w:b w:val="0"/>
          <w:i w:val="0"/>
          <w:color w:val="1F2937"/>
          <w:sz w:val="22"/>
        </w:rPr>
        <w:t>Staging Supabase project and paid backup tier.</w:t>
      </w:r>
    </w:p>
    <w:p>
      <w:pPr>
        <w:pStyle w:val="ListBullet"/>
        <w:ind w:left="540" w:hanging="271"/>
      </w:pPr>
      <w:r>
        <w:rPr>
          <w:rFonts w:ascii="Calibri" w:hAnsi="Calibri"/>
          <w:b w:val="0"/>
          <w:i w:val="0"/>
          <w:color w:val="1F2937"/>
          <w:sz w:val="22"/>
        </w:rPr>
        <w:t>Error monitoring, uptime and log providers.</w:t>
      </w:r>
    </w:p>
    <w:p>
      <w:pPr>
        <w:pStyle w:val="ListBullet"/>
        <w:ind w:left="540" w:hanging="271"/>
      </w:pPr>
      <w:r>
        <w:rPr>
          <w:rFonts w:ascii="Calibri" w:hAnsi="Calibri"/>
          <w:b w:val="0"/>
          <w:i w:val="0"/>
          <w:color w:val="1F2937"/>
          <w:sz w:val="22"/>
        </w:rPr>
        <w:t>Final RPO/RTO, retention and support severity targets.</w:t>
      </w:r>
    </w:p>
    <w:p>
      <w:pPr>
        <w:pStyle w:val="ListBullet"/>
        <w:ind w:left="540" w:hanging="271"/>
      </w:pPr>
      <w:r>
        <w:rPr>
          <w:rFonts w:ascii="Calibri" w:hAnsi="Calibri"/>
          <w:b w:val="0"/>
          <w:i w:val="0"/>
          <w:color w:val="1F2937"/>
          <w:sz w:val="22"/>
        </w:rPr>
        <w:t>Client preview-access method under the selected Vercel plan.</w:t>
      </w:r>
    </w:p>
    <w:p>
      <w:pPr>
        <w:pStyle w:val="ListBullet"/>
        <w:ind w:left="540" w:hanging="271"/>
      </w:pPr>
      <w:r>
        <w:rPr>
          <w:rFonts w:ascii="Calibri" w:hAnsi="Calibri"/>
          <w:b w:val="0"/>
          <w:i w:val="0"/>
          <w:color w:val="1F2937"/>
          <w:sz w:val="22"/>
        </w:rPr>
        <w:t>Penetration-test provider and launch timing.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Planning Baseline  |  Version 0.1  |  Page </w:t>
    </w:r>
    <w:r>
      <w:rPr>
        <w:rFonts w:ascii="Calibri" w:hAnsi="Calibri"/>
        <w:b w:val="0"/>
        <w:i w:val="0"/>
        <w:color w:val="5F6B7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7"/>
      </w:rPr>
      <w:t>STEADFAST  |  TESTING AND DEPLOYMENT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before="0"/>
      <w:jc w:val="left"/>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SteadFast Testing and Deployment Plan v0.1</dc:title>
  <dc:subject>Continuous previews, isolated data, release gates and recoverable production</dc:subject>
  <dc:creator>SteadFast</dc:creator>
  <cp:keywords>SteadFast, SaaS, real estate, Jamaica, planning</cp:keywords>
  <dc:description>generated by python-docx</dc:description>
  <cp:lastModifiedBy/>
  <cp:revision>1</cp:revision>
  <dcterms:created xsi:type="dcterms:W3CDTF">2013-12-23T23:15:00Z</dcterms:created>
  <dcterms:modified xsi:type="dcterms:W3CDTF">2013-12-23T23:15:00Z</dcterms:modified>
  <cp:category/>
</cp:coreProperties>
</file>