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  <w:r>
        <w:br w:type="textWrapping"/>
      </w:r>
      <w:r>
        <w:t xml:space="preserve">5</w:t>
      </w:r>
      <w:r>
        <w:t xml:space="preserve"> </w:t>
      </w:r>
      <w:hyperlink w:anchor="x1-110005">
        <w:r>
          <w:rPr>
            <w:rStyle w:val="Hyperlink"/>
          </w:rPr>
          <w:t xml:space="preserve">Standard graphics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parts of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(no AMS or external</w:t>
      </w:r>
      <w:r>
        <w:t xml:space="preserve"> </w:t>
      </w:r>
      <w:r>
        <w:t xml:space="preserve">graphics) under various transforms. The content of this document is</w:t>
      </w:r>
      <w:r>
        <w:t xml:space="preserve"> </w:t>
      </w:r>
      <w:r>
        <w:t xml:space="preserve">not</w:t>
      </w:r>
      <w:r>
        <w:t xml:space="preserve"> </w:t>
      </w:r>
      <w:r>
        <w:t xml:space="preserve">a description of a</w:t>
      </w:r>
      <w:r>
        <w:t xml:space="preserve"> </w:t>
      </w:r>
      <w:r>
        <w:t xml:space="preserve">transformable set of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which will certainly be smaller.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Negated:</w:t>
      </w:r>
    </w:p>
    <w:p>
      <w:pPr>
        <w:pStyle w:val="BodyText"/>
      </w:pPr>
      <m:oMath>
        <m:r>
          <m:t>≮</m:t>
        </m:r>
      </m:oMath>
      <w:r>
        <w:t xml:space="preserve"> </w:t>
      </w:r>
      <w:r>
        <w:t xml:space="preserve">$\operatorname{\leq\not{}}$</w:t>
      </w:r>
      <w:r>
        <w:t xml:space="preserve"> </w:t>
      </w:r>
      <m:oMath>
        <m:r>
          <m:t>≰</m:t>
        </m:r>
      </m:oMath>
      <w:r>
        <w:t xml:space="preserve"> </w:t>
      </w:r>
      <w:r>
        <w:t xml:space="preserve">$\ll\not{}$</w:t>
      </w:r>
      <w:r>
        <w:t xml:space="preserve"> </w:t>
      </w:r>
      <m:oMath>
        <m:r>
          <m:t>⊈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∉</m:t>
        </m:r>
      </m:oMath>
      <w:r>
        <w:t xml:space="preserve"> </w:t>
      </w:r>
      <m:oMath>
        <m:r>
          <m:t>⊬</m:t>
        </m:r>
      </m:oMath>
      <w:r>
        <w:t xml:space="preserve"> </w:t>
      </w:r>
      <m:oMath>
        <m:r>
          <m:t>⊭</m:t>
        </m:r>
      </m:oMath>
      <w:r>
        <w:t xml:space="preserve"> </w:t>
      </w:r>
      <m:oMath>
        <m:r>
          <m:t>≯</m:t>
        </m:r>
      </m:oMath>
      <w:r>
        <w:t xml:space="preserve"> </w:t>
      </w:r>
      <w:r>
        <w:t xml:space="preserve">$\operatorname{\geq\not{}}$</w:t>
      </w:r>
      <w:r>
        <w:t xml:space="preserve"> </w:t>
      </w:r>
      <m:oMath>
        <m:r>
          <m:t>≱</m:t>
        </m:r>
      </m:oMath>
      <w:r>
        <w:t xml:space="preserve"> </w:t>
      </w:r>
      <w:r>
        <w:t xml:space="preserve">$\gg\not{}$</w:t>
      </w:r>
      <w:r>
        <w:t xml:space="preserve"> </w:t>
      </w:r>
      <m:oMath>
        <m:r>
          <m:t>⊉</m:t>
        </m:r>
      </m:oMath>
      <w:r>
        <w:t xml:space="preserve"> </w:t>
      </w:r>
      <w:r>
        <w:t xml:space="preserve">$\operatorname{\dashv\not{}}$</w:t>
      </w:r>
      <w:r>
        <w:t xml:space="preserve"> </w:t>
      </w:r>
      <w:r>
        <w:t xml:space="preserve">$\operatorname{\bot\not{}}$</w:t>
      </w:r>
      <w:r>
        <w:t xml:space="preserve"> </w:t>
      </w:r>
      <m:oMath>
        <m:r>
          <m:t>≠</m:t>
        </m:r>
      </m:oMath>
      <w:r>
        <w:t xml:space="preserve"> </w:t>
      </w:r>
      <w:r>
        <w:t xml:space="preserve">$\operatorname{\not{}x\doteq}$</w:t>
      </w:r>
      <w:r>
        <w:t xml:space="preserve"> </w:t>
      </w:r>
      <m:oMath>
        <m:r>
          <m:t>≇</m:t>
        </m:r>
      </m:oMath>
      <w:r>
        <w:t xml:space="preserve"> </w:t>
      </w:r>
      <w:r>
        <w:t xml:space="preserve">$\operatorname{\propto\not{}}$</w:t>
      </w:r>
      <w:r>
        <w:t xml:space="preserve"> </w:t>
      </w:r>
      <m:oMath>
        <m:r>
          <m:t>⊀</m:t>
        </m:r>
      </m:oMath>
      <w:r>
        <w:t xml:space="preserve"> </w:t>
      </w:r>
      <w:r>
        <w:t xml:space="preserve">$\operatorname{\preccurlyeq\not{}}$</w:t>
      </w:r>
      <w:r>
        <w:t xml:space="preserve"> </w:t>
      </w:r>
      <m:oMath>
        <m:r>
          <m:t>≁</m:t>
        </m:r>
      </m:oMath>
      <w:r>
        <w:t xml:space="preserve"> </w:t>
      </w:r>
      <w:r>
        <w:t xml:space="preserve">$\operatorname{\smile\not{}}$</w:t>
      </w:r>
      <w:r>
        <w:t xml:space="preserve"> </w:t>
      </w:r>
      <w:r>
        <w:t xml:space="preserve">$\operatorname{\frown\not{}}$</w:t>
      </w:r>
      <w:r>
        <w:t xml:space="preserve"> </w:t>
      </w:r>
      <w:r>
        <w:t xml:space="preserve">$\operatorname{\not{}x\bowtie}$</w:t>
      </w:r>
      <w:r>
        <w:t xml:space="preserve"> </w:t>
      </w:r>
      <m:oMath>
        <m:r>
          <m:t>⊁</m:t>
        </m:r>
      </m:oMath>
      <w:r>
        <w:t xml:space="preserve"> </w:t>
      </w:r>
      <w:r>
        <w:t xml:space="preserve">$\operatorname{\succcurlyeq\not{}}$</w:t>
      </w:r>
    </w:p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/>
              <m:e>
                <m:r>
                  <m:t>a</m:t>
                </m:r>
                <m:r>
                  <m:t>=</m:t>
                </m:r>
                <m:r>
                  <m:t>b</m:t>
                </m:r>
                <m:r>
                  <m:t>=</m:t>
                </m:r>
                <m:r>
                  <m:t>c</m:t>
                </m:r>
                <m:r>
                  <m:t>=</m:t>
                </m:r>
                <m:r>
                  <m:t>d</m:t>
                </m:r>
                <m:r>
                  <m:t>=</m:t>
                </m:r>
                <m:r>
                  <m:t>e</m:t>
                </m:r>
                <m:r>
                  <m:t>=</m:t>
                </m:r>
                <m:r>
                  <m:t>f</m:t>
                </m:r>
                <m:r>
                  <m:t>=</m:t>
                </m:r>
                <m:r>
                  <m:t>g</m:t>
                </m:r>
                <m:r>
                  <m:t>=</m:t>
                </m:r>
                <m:r>
                  <m:t>h</m:t>
                </m:r>
                <m:r>
                  <m:t>=</m:t>
                </m:r>
                <m:r>
                  <m:t>i</m:t>
                </m:r>
                <m:r>
                  <m:t>=</m:t>
                </m:r>
                <m:r>
                  <m:t>j</m:t>
                </m:r>
                <m:r>
                  <m:t>=</m:t>
                </m:r>
                <m:r>
                  <m:t>k</m:t>
                </m:r>
                <m:r>
                  <m:t>=</m:t>
                </m:r>
                <m:r>
                  <m:t>l</m:t>
                </m:r>
                <m:r>
                  <m:t>=</m:t>
                </m:r>
                <m:r>
                  <m:t>m</m:t>
                </m:r>
                <m:r>
                  <m:t>=</m:t>
                </m:r>
                <m:r>
                  <m:t>n</m:t>
                </m:r>
                <m:r>
                  <m:t>=</m:t>
                </m:r>
                <m:r>
                  <m:t>o</m:t>
                </m:r>
                <m:r>
                  <m:t>=</m:t>
                </m:r>
                <m:r>
                  <m:t>p</m:t>
                </m:r>
                <m:r>
                  <m:t>=</m:t>
                </m:r>
                <m:r>
                  <m:t>q</m:t>
                </m:r>
                <m:r>
                  <m:t>=</m:t>
                </m:r>
                <m:r>
                  <m:t>r</m:t>
                </m:r>
                <m:r>
                  <m:t>=</m:t>
                </m:r>
                <m:r>
                  <m:t>s</m:t>
                </m:r>
                <m:r>
                  <m:t>=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&lt;</m:t>
                </m:r>
                <m:r>
                  <m:t>b</m:t>
                </m:r>
                <m:r>
                  <m:t>&lt;</m:t>
                </m:r>
                <m:r>
                  <m:t>c</m:t>
                </m:r>
                <m:r>
                  <m:t>&lt;</m:t>
                </m:r>
                <m:r>
                  <m:t>d</m:t>
                </m:r>
                <m:r>
                  <m:t>&lt;</m:t>
                </m:r>
                <m:r>
                  <m:t>e</m:t>
                </m:r>
                <m:r>
                  <m:t>&lt;</m:t>
                </m:r>
                <m:r>
                  <m:t>f</m:t>
                </m:r>
                <m:r>
                  <m:t>&lt;</m:t>
                </m:r>
                <m:r>
                  <m:t>g</m:t>
                </m:r>
                <m:r>
                  <m:t>&lt;</m:t>
                </m:r>
                <m:r>
                  <m:t>h</m:t>
                </m:r>
                <m:r>
                  <m:t>&lt;</m:t>
                </m:r>
                <m:r>
                  <m:t>i</m:t>
                </m:r>
                <m:r>
                  <m:t>&lt;</m:t>
                </m:r>
                <m:r>
                  <m:t>j</m:t>
                </m:r>
                <m:r>
                  <m:t>&lt;</m:t>
                </m:r>
                <m:r>
                  <m:t>k</m:t>
                </m:r>
                <m:r>
                  <m:t>&lt;</m:t>
                </m:r>
                <m:r>
                  <m:t>l</m:t>
                </m:r>
                <m:r>
                  <m:t>&lt;</m:t>
                </m:r>
                <m:r>
                  <m:t>m</m:t>
                </m:r>
                <m:r>
                  <m:t>&lt;</m:t>
                </m:r>
                <m:r>
                  <m:t>n</m:t>
                </m:r>
                <m:r>
                  <m:t>&lt;</m:t>
                </m:r>
                <m:r>
                  <m:t>o</m:t>
                </m:r>
                <m:r>
                  <m:t>&lt;</m:t>
                </m:r>
                <m:r>
                  <m:t>p</m:t>
                </m:r>
                <m:r>
                  <m:t>&lt;</m:t>
                </m:r>
                <m:r>
                  <m:t>q</m:t>
                </m:r>
                <m:r>
                  <m:t>&lt;</m:t>
                </m:r>
                <m:r>
                  <m:t>r</m:t>
                </m:r>
                <m:r>
                  <m:t>&lt;</m:t>
                </m:r>
                <m:r>
                  <m:t>s</m:t>
                </m:r>
                <m:r>
                  <m:t>&lt;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&gt;</m:t>
                </m:r>
                <m:r>
                  <m:t>b</m:t>
                </m:r>
                <m:r>
                  <m:t>&gt;</m:t>
                </m:r>
                <m:r>
                  <m:t>c</m:t>
                </m:r>
                <m:r>
                  <m:t>&gt;</m:t>
                </m:r>
                <m:r>
                  <m:t>d</m:t>
                </m:r>
                <m:r>
                  <m:t>&gt;</m:t>
                </m:r>
                <m:r>
                  <m:t>e</m:t>
                </m:r>
                <m:r>
                  <m:t>&gt;</m:t>
                </m:r>
                <m:r>
                  <m:t>f</m:t>
                </m:r>
                <m:r>
                  <m:t>&gt;</m:t>
                </m:r>
                <m:r>
                  <m:t>g</m:t>
                </m:r>
                <m:r>
                  <m:t>&gt;</m:t>
                </m:r>
                <m:r>
                  <m:t>h</m:t>
                </m:r>
                <m:r>
                  <m:t>&gt;</m:t>
                </m:r>
                <m:r>
                  <m:t>i</m:t>
                </m:r>
                <m:r>
                  <m:t>&gt;</m:t>
                </m:r>
                <m:r>
                  <m:t>j</m:t>
                </m:r>
                <m:r>
                  <m:t>&gt;</m:t>
                </m:r>
                <m:r>
                  <m:t>k</m:t>
                </m:r>
                <m:r>
                  <m:t>&gt;</m:t>
                </m:r>
                <m:r>
                  <m:t>l</m:t>
                </m:r>
                <m:r>
                  <m:t>&gt;</m:t>
                </m:r>
                <m:r>
                  <m:t>m</m:t>
                </m:r>
                <m:r>
                  <m:t>&gt;</m:t>
                </m:r>
                <m:r>
                  <m:t>n</m:t>
                </m:r>
                <m:r>
                  <m:t>&gt;</m:t>
                </m:r>
                <m:r>
                  <m:t>o</m:t>
                </m:r>
                <m:r>
                  <m:t>&gt;</m:t>
                </m:r>
                <m:r>
                  <m:t>p</m:t>
                </m:r>
                <m:r>
                  <m:t>&gt;</m:t>
                </m:r>
                <m:r>
                  <m:t>q</m:t>
                </m:r>
                <m:r>
                  <m:t>&gt;</m:t>
                </m:r>
                <m:r>
                  <m:t>r</m:t>
                </m:r>
                <m:r>
                  <m:t>&gt;</m:t>
                </m:r>
                <m:r>
                  <m:t>s</m:t>
                </m:r>
                <m:r>
                  <m:t>&gt;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≤</m:t>
                </m:r>
                <m:r>
                  <m:t>b</m:t>
                </m:r>
                <m:r>
                  <m:t>≤</m:t>
                </m:r>
                <m:r>
                  <m:t>c</m:t>
                </m:r>
                <m:r>
                  <m:t>≤</m:t>
                </m:r>
                <m:r>
                  <m:t>d</m:t>
                </m:r>
                <m:r>
                  <m:t>≤</m:t>
                </m:r>
                <m:r>
                  <m:t>e</m:t>
                </m:r>
                <m:r>
                  <m:t>≤</m:t>
                </m:r>
                <m:r>
                  <m:t>f</m:t>
                </m:r>
                <m:r>
                  <m:t>≤</m:t>
                </m:r>
                <m:r>
                  <m:t>g</m:t>
                </m:r>
                <m:r>
                  <m:t>≤</m:t>
                </m:r>
                <m:r>
                  <m:t>h</m:t>
                </m:r>
                <m:r>
                  <m:t>≤</m:t>
                </m:r>
                <m:r>
                  <m:t>i</m:t>
                </m:r>
                <m:r>
                  <m:t>≤</m:t>
                </m:r>
                <m:r>
                  <m:t>j</m:t>
                </m:r>
                <m:r>
                  <m:t>≤</m:t>
                </m:r>
                <m:r>
                  <m:t>k</m:t>
                </m:r>
                <m:r>
                  <m:t>≤</m:t>
                </m:r>
                <m:r>
                  <m:t>l</m:t>
                </m:r>
                <m:r>
                  <m:t>≤</m:t>
                </m:r>
                <m:r>
                  <m:t>m</m:t>
                </m:r>
                <m:r>
                  <m:t>≤</m:t>
                </m:r>
                <m:r>
                  <m:t>n</m:t>
                </m:r>
                <m:r>
                  <m:t>≤</m:t>
                </m:r>
                <m:r>
                  <m:t>o</m:t>
                </m:r>
                <m:r>
                  <m:t>≤</m:t>
                </m:r>
                <m:r>
                  <m:t>p</m:t>
                </m:r>
                <m:r>
                  <m:t>≤</m:t>
                </m:r>
                <m:r>
                  <m:t>q</m:t>
                </m:r>
                <m:r>
                  <m:t>≤</m:t>
                </m:r>
                <m:r>
                  <m:t>r</m:t>
                </m:r>
                <m:r>
                  <m:t>≤</m:t>
                </m:r>
                <m:r>
                  <m:t>s</m:t>
                </m:r>
                <m:r>
                  <m:t>≤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≥</m:t>
                </m:r>
                <m:r>
                  <m:t>b</m:t>
                </m:r>
                <m:r>
                  <m:t>≥</m:t>
                </m:r>
                <m:r>
                  <m:t>c</m:t>
                </m:r>
                <m:r>
                  <m:t>≥</m:t>
                </m:r>
                <m:r>
                  <m:t>d</m:t>
                </m:r>
                <m:r>
                  <m:t>≥</m:t>
                </m:r>
                <m:r>
                  <m:t>e</m:t>
                </m:r>
                <m:r>
                  <m:t>≥</m:t>
                </m:r>
                <m:r>
                  <m:t>f</m:t>
                </m:r>
                <m:r>
                  <m:t>≥</m:t>
                </m:r>
                <m:r>
                  <m:t>g</m:t>
                </m:r>
                <m:r>
                  <m:t>≥</m:t>
                </m:r>
                <m:r>
                  <m:t>h</m:t>
                </m:r>
                <m:r>
                  <m:t>≥</m:t>
                </m:r>
                <m:r>
                  <m:t>i</m:t>
                </m:r>
                <m:r>
                  <m:t>≥</m:t>
                </m:r>
                <m:r>
                  <m:t>j</m:t>
                </m:r>
                <m:r>
                  <m:t>≥</m:t>
                </m:r>
                <m:r>
                  <m:t>k</m:t>
                </m:r>
                <m:r>
                  <m:t>≥</m:t>
                </m:r>
                <m:r>
                  <m:t>l</m:t>
                </m:r>
                <m:r>
                  <m:t>≥</m:t>
                </m:r>
                <m:r>
                  <m:t>m</m:t>
                </m:r>
                <m:r>
                  <m:t>≥</m:t>
                </m:r>
                <m:r>
                  <m:t>n</m:t>
                </m:r>
                <m:r>
                  <m:t>≥</m:t>
                </m:r>
                <m:r>
                  <m:t>o</m:t>
                </m:r>
                <m:r>
                  <m:t>≥</m:t>
                </m:r>
                <m:r>
                  <m:t>p</m:t>
                </m:r>
                <m:r>
                  <m:t>≥</m:t>
                </m:r>
                <m:r>
                  <m:t>q</m:t>
                </m:r>
                <m:r>
                  <m:t>≥</m:t>
                </m:r>
                <m:r>
                  <m:t>r</m:t>
                </m:r>
                <m:r>
                  <m:t>≥</m:t>
                </m:r>
                <m:r>
                  <m:t>s</m:t>
                </m:r>
                <m:r>
                  <m:t>≥</m:t>
                </m:r>
                <m:r>
                  <m:t>t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+</m:t>
                </m:r>
                <m:r>
                  <m:t>b</m:t>
                </m:r>
                <m:r>
                  <m:t>+</m:t>
                </m:r>
                <m:r>
                  <m:t>c</m:t>
                </m:r>
                <m:r>
                  <m:t>+</m:t>
                </m:r>
                <m:r>
                  <m:t>d</m:t>
                </m:r>
                <m:r>
                  <m:t>+</m:t>
                </m:r>
                <m:r>
                  <m:t>e</m:t>
                </m:r>
                <m:r>
                  <m:t>+</m:t>
                </m:r>
                <m:r>
                  <m:t>f</m:t>
                </m:r>
                <m:r>
                  <m:t>+</m:t>
                </m:r>
                <m:r>
                  <m:t>g</m:t>
                </m:r>
                <m:r>
                  <m:t>+</m:t>
                </m:r>
                <m:r>
                  <m:t>h</m:t>
                </m:r>
                <m:r>
                  <m:t>+</m:t>
                </m:r>
                <m:r>
                  <m:t>i</m:t>
                </m:r>
                <m:r>
                  <m:t>+</m:t>
                </m:r>
                <m:r>
                  <m:t>j</m:t>
                </m:r>
                <m:r>
                  <m:t>+</m:t>
                </m:r>
                <m:r>
                  <m:t>k</m:t>
                </m:r>
                <m:r>
                  <m:t>+</m:t>
                </m:r>
                <m:r>
                  <m:t>l</m:t>
                </m:r>
                <m:r>
                  <m:t>+</m:t>
                </m:r>
                <m:r>
                  <m:t>m</m:t>
                </m:r>
                <m:r>
                  <m:t>+</m:t>
                </m:r>
                <m:r>
                  <m:t>n</m:t>
                </m:r>
                <m:r>
                  <m:t>+</m:t>
                </m:r>
                <m:r>
                  <m:t>o</m:t>
                </m:r>
                <m:r>
                  <m:t>+</m:t>
                </m:r>
                <m:r>
                  <m:t>p</m:t>
                </m:r>
                <m:r>
                  <m:t>+</m:t>
                </m:r>
                <m:r>
                  <m:t>q</m:t>
                </m:r>
                <m:r>
                  <m:t>+</m:t>
                </m:r>
                <m:r>
                  <m:t>r</m:t>
                </m:r>
                <m:r>
                  <m:t>+</m:t>
                </m:r>
                <m:r>
                  <m:t>s</m:t>
                </m:r>
                <m:r>
                  <m:t>+</m:t>
                </m:r>
                <m:r>
                  <m:t>t</m:t>
                </m:r>
                <m:r>
                  <m:t>+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−</m:t>
                </m:r>
                <m:r>
                  <m:t>b</m:t>
                </m:r>
                <m:r>
                  <m:t>−</m:t>
                </m:r>
                <m:r>
                  <m:t>c</m:t>
                </m:r>
                <m:r>
                  <m:t>−</m:t>
                </m:r>
                <m:r>
                  <m:t>d</m:t>
                </m:r>
                <m:r>
                  <m:t>−</m:t>
                </m:r>
                <m:r>
                  <m:t>e</m:t>
                </m:r>
                <m:r>
                  <m:t>−</m:t>
                </m:r>
                <m:r>
                  <m:t>f</m:t>
                </m:r>
                <m:r>
                  <m:t>−</m:t>
                </m:r>
                <m:r>
                  <m:t>g</m:t>
                </m:r>
                <m:r>
                  <m:t>−</m:t>
                </m:r>
                <m:r>
                  <m:t>h</m:t>
                </m:r>
                <m:r>
                  <m:t>−</m:t>
                </m:r>
                <m:r>
                  <m:t>i</m:t>
                </m:r>
                <m:r>
                  <m:t>−</m:t>
                </m:r>
                <m:r>
                  <m:t>j</m:t>
                </m:r>
                <m:r>
                  <m:t>−</m:t>
                </m:r>
                <m:r>
                  <m:t>k</m:t>
                </m:r>
                <m:r>
                  <m:t>−</m:t>
                </m:r>
                <m:r>
                  <m:t>l</m:t>
                </m:r>
                <m:r>
                  <m:t>−</m:t>
                </m:r>
                <m:r>
                  <m:t>m</m:t>
                </m:r>
                <m:r>
                  <m:t>−</m:t>
                </m:r>
                <m:r>
                  <m:t>n</m:t>
                </m:r>
                <m:r>
                  <m:t>−</m:t>
                </m:r>
                <m:r>
                  <m:t>o</m:t>
                </m:r>
                <m:r>
                  <m:t>−</m:t>
                </m:r>
                <m:r>
                  <m:t>p</m:t>
                </m:r>
                <m:r>
                  <m:t>−</m:t>
                </m:r>
                <m:r>
                  <m:t>q</m:t>
                </m:r>
                <m:r>
                  <m:t>−</m:t>
                </m:r>
                <m:r>
                  <m:t>r</m:t>
                </m:r>
                <m:r>
                  <m:t>−</m:t>
                </m:r>
                <m:r>
                  <m:t>s</m:t>
                </m:r>
                <m:r>
                  <m:t>−</m:t>
                </m:r>
                <m:r>
                  <m:t>t</m:t>
                </m:r>
                <m:r>
                  <m:t>−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×</m:t>
                </m:r>
                <m:r>
                  <m:t>b</m:t>
                </m:r>
                <m:r>
                  <m:t>×</m:t>
                </m:r>
                <m:r>
                  <m:t>c</m:t>
                </m:r>
                <m:r>
                  <m:t>×</m:t>
                </m:r>
                <m:r>
                  <m:t>d</m:t>
                </m:r>
                <m:r>
                  <m:t>×</m:t>
                </m:r>
                <m:r>
                  <m:t>e</m:t>
                </m:r>
                <m:r>
                  <m:t>×</m:t>
                </m:r>
                <m:r>
                  <m:t>f</m:t>
                </m:r>
                <m:r>
                  <m:t>×</m:t>
                </m:r>
                <m:r>
                  <m:t>g</m:t>
                </m:r>
                <m:r>
                  <m:t>×</m:t>
                </m:r>
                <m:r>
                  <m:t>h</m:t>
                </m:r>
                <m:r>
                  <m:t>×</m:t>
                </m:r>
                <m:r>
                  <m:t>i</m:t>
                </m:r>
                <m:r>
                  <m:t>×</m:t>
                </m:r>
                <m:r>
                  <m:t>j</m:t>
                </m:r>
                <m:r>
                  <m:t>×</m:t>
                </m:r>
                <m:r>
                  <m:t>k</m:t>
                </m:r>
                <m:r>
                  <m:t>×</m:t>
                </m:r>
                <m:r>
                  <m:t>l</m:t>
                </m:r>
                <m:r>
                  <m:t>×</m:t>
                </m:r>
                <m:r>
                  <m:t>m</m:t>
                </m:r>
                <m:r>
                  <m:t>×</m:t>
                </m:r>
                <m:r>
                  <m:t>n</m:t>
                </m:r>
                <m:r>
                  <m:t>×</m:t>
                </m:r>
                <m:r>
                  <m:t>o</m:t>
                </m:r>
                <m:r>
                  <m:t>×</m:t>
                </m:r>
                <m:r>
                  <m:t>p</m:t>
                </m:r>
                <m:r>
                  <m:t>×</m:t>
                </m:r>
                <m:r>
                  <m:t>q</m:t>
                </m:r>
                <m:r>
                  <m:t>×</m:t>
                </m:r>
                <m:r>
                  <m:t>r</m:t>
                </m:r>
                <m:r>
                  <m:t>×</m:t>
                </m:r>
                <m:r>
                  <m:t>s</m:t>
                </m:r>
                <m:r>
                  <m:t>×</m:t>
                </m:r>
                <m:r>
                  <m:t>t</m:t>
                </m:r>
                <m:r>
                  <m:t>×</m:t>
                </m:r>
                <m:r>
                  <m:t>u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*</m:t>
                </m:r>
                <m:r>
                  <m:t>b</m:t>
                </m:r>
                <m:r>
                  <m:t>*</m:t>
                </m:r>
                <m:r>
                  <m:t>c</m:t>
                </m:r>
                <m:r>
                  <m:t>*</m:t>
                </m:r>
                <m:r>
                  <m:t>d</m:t>
                </m:r>
                <m:r>
                  <m:t>*</m:t>
                </m:r>
                <m:r>
                  <m:t>e</m:t>
                </m:r>
                <m:r>
                  <m:t>*</m:t>
                </m:r>
                <m:r>
                  <m:t>f</m:t>
                </m:r>
                <m:r>
                  <m:t>*</m:t>
                </m:r>
                <m:r>
                  <m:t>g</m:t>
                </m:r>
                <m:r>
                  <m:t>*</m:t>
                </m:r>
                <m:r>
                  <m:t>h</m:t>
                </m:r>
                <m:r>
                  <m:t>*</m:t>
                </m:r>
                <m:r>
                  <m:t>i</m:t>
                </m:r>
                <m:r>
                  <m:t>*</m:t>
                </m:r>
                <m:r>
                  <m:t>j</m:t>
                </m:r>
                <m:r>
                  <m:t>*</m:t>
                </m:r>
                <m:r>
                  <m:t>k</m:t>
                </m:r>
                <m:r>
                  <m:t>*</m:t>
                </m:r>
                <m:r>
                  <m:t>l</m:t>
                </m:r>
                <m:r>
                  <m:t>*</m:t>
                </m:r>
                <m:r>
                  <m:t>m</m:t>
                </m:r>
                <m:r>
                  <m:t>*</m:t>
                </m:r>
                <m:r>
                  <m:t>n</m:t>
                </m:r>
                <m:r>
                  <m:t>*</m:t>
                </m:r>
                <m:r>
                  <m:t>o</m:t>
                </m:r>
                <m:r>
                  <m:t>*</m:t>
                </m:r>
                <m:r>
                  <m:t>p</m:t>
                </m:r>
                <m:r>
                  <m:t>*</m:t>
                </m:r>
                <m:r>
                  <m:t>q</m:t>
                </m:r>
                <m:r>
                  <m:t>*</m:t>
                </m:r>
                <m:r>
                  <m:t>r</m:t>
                </m:r>
                <m:r>
                  <m:t>*</m:t>
                </m:r>
                <m:r>
                  <m:t>s</m:t>
                </m:r>
                <m:r>
                  <m:t>*</m:t>
                </m:r>
                <m:r>
                  <m:t>t</m:t>
                </m:r>
                <m:r>
                  <m:t>*</m:t>
                </m:r>
                <m:r>
                  <m:t>u</m:t>
                </m:r>
                <m:r>
                  <m:t>*</m:t>
                </m:r>
                <m:r>
                  <m:t>v</m:t>
                </m:r>
                <m:r>
                  <m:t>*</m:t>
                </m:r>
                <m:r>
                  <m:t>w</m:t>
                </m:r>
                <m:r>
                  <m:t>*</m:t>
                </m:r>
                <m:r>
                  <m:t>x</m:t>
                </m:r>
                <m:r>
                  <m:t>*</m:t>
                </m:r>
                <m:r>
                  <m:t>y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  <m:r>
                  <m:t>⋅</m:t>
                </m:r>
                <m:r>
                  <m:t>d</m:t>
                </m:r>
                <m:r>
                  <m:t>⋅</m:t>
                </m:r>
                <m:r>
                  <m:t>e</m:t>
                </m:r>
                <m:r>
                  <m:t>⋅</m:t>
                </m:r>
                <m:r>
                  <m:t>f</m:t>
                </m:r>
                <m:r>
                  <m:t>⋅</m:t>
                </m:r>
                <m:r>
                  <m:t>g</m:t>
                </m:r>
                <m:r>
                  <m:t>⋅</m:t>
                </m:r>
                <m:r>
                  <m:t>h</m:t>
                </m:r>
                <m:r>
                  <m:t>⋅</m:t>
                </m:r>
                <m:r>
                  <m:t>i</m:t>
                </m:r>
                <m:r>
                  <m:t>⋅</m:t>
                </m:r>
                <m:r>
                  <m:t>j</m:t>
                </m:r>
                <m:r>
                  <m:t>⋅</m:t>
                </m:r>
                <m:r>
                  <m:t>k</m:t>
                </m:r>
                <m:r>
                  <m:t>⋅</m:t>
                </m:r>
                <m:r>
                  <m:t>l</m:t>
                </m:r>
                <m:r>
                  <m:t>⋅</m:t>
                </m:r>
                <m:r>
                  <m:t>m</m:t>
                </m:r>
                <m:r>
                  <m:t>⋅</m:t>
                </m:r>
                <m:r>
                  <m:t>n</m:t>
                </m:r>
                <m:r>
                  <m:t>⋅</m:t>
                </m:r>
                <m:r>
                  <m:t>o</m:t>
                </m:r>
                <m:r>
                  <m:t>⋅</m:t>
                </m:r>
                <m:r>
                  <m:t>p</m:t>
                </m:r>
                <m:r>
                  <m:t>⋅</m:t>
                </m:r>
                <m:r>
                  <m:t>q</m:t>
                </m:r>
                <m:r>
                  <m:t>⋅</m:t>
                </m:r>
                <m:r>
                  <m:t>r</m:t>
                </m:r>
                <m:r>
                  <m:t>⋅</m:t>
                </m:r>
                <m:r>
                  <m:t>s</m:t>
                </m:r>
                <m:r>
                  <m:t>⋅</m:t>
                </m:r>
                <m:r>
                  <m:t>t</m:t>
                </m:r>
                <m:r>
                  <m:t>⋅</m:t>
                </m:r>
                <m:r>
                  <m:t>u</m:t>
                </m:r>
                <m:r>
                  <m:t>⋅</m:t>
                </m:r>
                <m:r>
                  <m:t>v</m:t>
                </m:r>
                <m:r>
                  <m:t>⋅</m:t>
                </m:r>
                <m:r>
                  <m:t>w</m:t>
                </m:r>
                <m:r>
                  <m:t>⋅</m:t>
                </m:r>
                <m:r>
                  <m:t>x</m:t>
                </m:r>
                <m:r>
                  <m:t>⋅</m:t>
                </m:r>
                <m:r>
                  <m:t>y</m:t>
                </m:r>
                <m:r>
                  <m:t>⋅</m:t>
                </m:r>
                <m:r>
                  <m:t>z</m:t>
                </m:r>
                <m:r>
                  <m:t>⋅</m:t>
                </m:r>
                <m:r>
                  <m:t>a</m:t>
                </m:r>
                <m:r>
                  <m:t>⋅</m:t>
                </m:r>
                <m:r>
                  <m:t>b</m:t>
                </m:r>
                <m:r>
                  <m:t>⋅</m:t>
                </m:r>
                <m:r>
                  <m:t>c</m:t>
                </m:r>
              </m:e>
              <m:e/>
            </m:mr>
            <m:mr>
              <m:e/>
              <m:e/>
              <m:e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,</m:t>
                </m:r>
                <m:r>
                  <m:t>m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o</m:t>
                </m:r>
                <m:r>
                  <m:t>,</m:t>
                </m:r>
                <m:r>
                  <m:t>p</m:t>
                </m:r>
                <m:r>
                  <m:t>,</m:t>
                </m:r>
                <m:r>
                  <m:t>q</m:t>
                </m:r>
                <m:r>
                  <m:t>,</m:t>
                </m:r>
                <m:r>
                  <m:t>r</m:t>
                </m:r>
                <m:r>
                  <m:t>,</m:t>
                </m:r>
                <m:r>
                  <m:t>s</m:t>
                </m:r>
                <m:r>
                  <m:t>,</m:t>
                </m:r>
                <m:r>
                  <m:t>t</m:t>
                </m:r>
                <m:r>
                  <m:t>,</m:t>
                </m:r>
                <m:r>
                  <m:t>u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w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,</m:t>
                </m:r>
                <m:r>
                  <m:t>z</m:t>
                </m:r>
                <m:r>
                  <m:t>,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c</m:t>
                </m:r>
                <m:r>
                  <m:t>,</m:t>
                </m:r>
                <m:r>
                  <m:t>d</m:t>
                </m:r>
                <m:r>
                  <m:t>,</m:t>
                </m:r>
                <m:r>
                  <m:t>e</m:t>
                </m:r>
                <m:r>
                  <m:t>,</m:t>
                </m:r>
                <m:r>
                  <m:t>f</m:t>
                </m:r>
                <m:r>
                  <m:t>,</m:t>
                </m:r>
                <m:r>
                  <m:t>g</m:t>
                </m:r>
                <m:r>
                  <m:t>,</m:t>
                </m:r>
                <m:r>
                  <m:t>h</m:t>
                </m:r>
                <m:r>
                  <m:t>,</m:t>
                </m:r>
                <m:r>
                  <m:t>i</m:t>
                </m:r>
                <m:r>
                  <m:t>,</m:t>
                </m:r>
                <m:r>
                  <m:t>j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  <m:r>
            <m:t>  </m:t>
          </m:r>
          <m:r>
            <m:t>a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c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f</m:t>
                              </m:r>
                              <m:r>
                                <m:t>+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g</m:t>
                                  </m:r>
                                  <m:r>
                                    <m:t>+</m:t>
                                  </m:r>
                                  <m:f>
                                    <m:fPr>
                                      <m:type m:val="bar"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h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FirstParagraph"/>
      </w:pPr>
      <w:r>
        <w:t xml:space="preserve">Testing new commands: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37" w:name="standard-graphics"/>
      <w:bookmarkEnd w:id="37"/>
      <w:r>
        <w:t xml:space="preserve">5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Standard graphics</w:t>
        </w:r>
      </w:hyperlink>
    </w:p>
    <w:p>
      <w:pPr>
        <w:pStyle w:val="FirstParagraph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1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1343025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eferences"/>
      <w:bookmarkEnd w:id="40"/>
      <w:hyperlink w:anchor="x1-120005">
        <w:r>
          <w:rPr>
            <w:rStyle w:val="Hyperlink"/>
          </w:rPr>
          <w:t xml:space="preserve">References</w:t>
        </w:r>
      </w:hyperlink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r>
        <w:t xml:space="preserve">Kopka, H. and Daly, P.,</w:t>
      </w:r>
      <w:r>
        <w:t xml:space="preserve"> </w:t>
      </w:r>
      <w:r>
        <w:t xml:space="preserve">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. Pearson Education Ltd., 1999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5758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5939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a2182f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2017-05-23T16:10:03Z</dcterms:created>
  <dcterms:modified xsi:type="dcterms:W3CDTF">2017-05-23T16:10:03Z</dcterms:modified>
</cp:coreProperties>
</file>