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Negated which work:</w:t>
      </w:r>
      <w:r>
        <w:t xml:space="preserve"> </w:t>
      </w:r>
      <m:oMath>
        <m:r>
          <m:t>≮</m:t>
        </m:r>
      </m:oMath>
      <w:r>
        <w:t xml:space="preserve"> </w:t>
      </w:r>
      <m:oMath>
        <m:r>
          <m:t>≰</m:t>
        </m:r>
      </m:oMath>
      <w:r>
        <w:t xml:space="preserve"> </w:t>
      </w:r>
      <m:oMath>
        <m:r>
          <m:t>⊈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⊬</m:t>
        </m:r>
      </m:oMath>
      <w:r>
        <w:t xml:space="preserve"> </w:t>
      </w:r>
      <m:oMath>
        <m:r>
          <m:t>⊭</m:t>
        </m:r>
      </m:oMath>
      <w:r>
        <w:t xml:space="preserve"> </w:t>
      </w:r>
      <m:oMath>
        <m:r>
          <m:t>≯</m:t>
        </m:r>
      </m:oMath>
      <w:r>
        <w:t xml:space="preserve"> </w:t>
      </w:r>
      <m:oMath>
        <m:r>
          <m:t>≱</m:t>
        </m:r>
      </m:oMath>
      <w:r>
        <w:t xml:space="preserve"> </w:t>
      </w:r>
      <m:oMath>
        <m:r>
          <m:t>⊉</m:t>
        </m:r>
      </m:oMath>
      <w:r>
        <w:t xml:space="preserve"> </w:t>
      </w:r>
      <m:oMath>
        <m:r>
          <m:t>≠</m:t>
        </m:r>
      </m:oMath>
      <w:r>
        <w:t xml:space="preserve"> </w:t>
      </w:r>
      <m:oMath>
        <m:r>
          <m:t>≇</m:t>
        </m:r>
      </m:oMath>
      <w:r>
        <w:t xml:space="preserve"> </w:t>
      </w:r>
      <m:oMath>
        <m:r>
          <m:t>⊀</m:t>
        </m:r>
      </m:oMath>
      <w:r>
        <w:t xml:space="preserve"> </w:t>
      </w:r>
      <m:oMath>
        <m:r>
          <m:t>⊁</m:t>
        </m:r>
      </m:oMath>
      <w:r>
        <w:t xml:space="preserve"> </w:t>
      </w:r>
      <m:oMath>
        <m:r>
          <m:t>≁</m:t>
        </m:r>
      </m:oMath>
    </w:p>
    <w:p>
      <w:pPr>
        <w:pStyle w:val="BodyText"/>
      </w:pPr>
      <w:r>
        <w:t xml:space="preserve">Turn into raw LaTeX-like encoding in Word:</w:t>
      </w:r>
      <w:r>
        <w:t xml:space="preserve"> </w:t>
      </w:r>
      <w:r>
        <w:t xml:space="preserve">$\operatorname{\leq\not{}}$</w:t>
      </w:r>
      <w:r>
        <w:t xml:space="preserve"> </w:t>
      </w:r>
      <w:r>
        <w:t xml:space="preserve">$\ll\not{}$</w:t>
      </w:r>
      <w:r>
        <w:t xml:space="preserve"> </w:t>
      </w:r>
      <w:r>
        <w:t xml:space="preserve">$\operatorname{\geq\not{}}$</w:t>
      </w:r>
      <w:r>
        <w:t xml:space="preserve"> </w:t>
      </w:r>
      <w:r>
        <w:t xml:space="preserve">$\gg\not{}$</w:t>
      </w:r>
      <w:r>
        <w:t xml:space="preserve"> </w:t>
      </w:r>
      <w:r>
        <w:t xml:space="preserve">$\operatorname{\dashv\not{}}$</w:t>
      </w:r>
      <w:r>
        <w:t xml:space="preserve"> </w:t>
      </w:r>
      <w:r>
        <w:t xml:space="preserve">$\operatorname{\bot\not{}}$</w:t>
      </w:r>
      <w:r>
        <w:t xml:space="preserve"> </w:t>
      </w:r>
      <w:r>
        <w:t xml:space="preserve">$\operatorname{\not{}x\doteq}$</w:t>
      </w:r>
      <w:r>
        <w:t xml:space="preserve"> </w:t>
      </w:r>
      <w:r>
        <w:t xml:space="preserve">$\operatorname{\propto\not{}}$</w:t>
      </w:r>
      <w:r>
        <w:t xml:space="preserve"> </w:t>
      </w:r>
      <w:r>
        <w:t xml:space="preserve">$\operatorname{\preccurlyeq\not{}}$</w:t>
      </w:r>
      <w:r>
        <w:t xml:space="preserve"> </w:t>
      </w:r>
      <w:r>
        <w:t xml:space="preserve">$\operatorname{\smile\not{}}$</w:t>
      </w:r>
      <w:r>
        <w:t xml:space="preserve"> </w:t>
      </w:r>
      <w:r>
        <w:t xml:space="preserve">$\operatorname{\frown\not{}}$</w:t>
      </w:r>
      <w:r>
        <w:t xml:space="preserve"> </w:t>
      </w:r>
      <w:r>
        <w:t xml:space="preserve">$\operatorname{\not{}x\bowtie}$</w:t>
      </w:r>
      <w:r>
        <w:t xml:space="preserve"> </w:t>
      </w:r>
      <w:r>
        <w:t xml:space="preserve">$\operatorname{\succcurlyeq\not{}}$</w:t>
      </w:r>
    </w:p>
    <w:p>
      <w:pPr>
        <w:pStyle w:val="BodyText"/>
      </w:pPr>
      <w:r>
        <w:t xml:space="preserve">Completely disappear in Word:</w:t>
      </w:r>
    </w:p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0db4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8880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56a68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2017-05-23T16:37:04Z</dcterms:created>
  <dcterms:modified xsi:type="dcterms:W3CDTF">2017-05-23T16:37:04Z</dcterms:modified>
</cp:coreProperties>
</file>