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setups with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which does not</w:t>
      </w:r>
      <w:r>
        <w:t xml:space="preserve"> </w:t>
      </w:r>
      <w:r>
        <w:t xml:space="preserve">use any AMS or graphics packages.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Compact"/>
      </w:pPr>
      <w:r>
        <w:t xml:space="preserve">This text should be printed verbatim with a linebreak here</w:t>
      </w:r>
      <w:r>
        <w:t xml:space="preserve"> </w:t>
      </w:r>
      <w:r>
        <w:t xml:space="preserve"> </w:t>
      </w:r>
      <w:r>
        <w:br w:type="textWrapping"/>
      </w:r>
      <w:r>
        <w:t xml:space="preserve">then two spaces at the start of this line which breaks here</w:t>
      </w:r>
      <w:r>
        <w:t xml:space="preserve"> </w:t>
      </w:r>
      <w:r>
        <w:t xml:space="preserve"> </w:t>
      </w:r>
      <w:r>
        <w:br w:type="textWrapping"/>
      </w:r>
      <w:r>
        <w:t xml:space="preserve">&gt; this line has a prompt at the start and now some braces {}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Negated: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$${} \nless \operatorname{\leq\not{}} \nleq \ll\not{} \nsubseteq \notin \notin \nvdash \nvDash \ngtr \operatorname{\geq\not{}} \ngeq \gg\not{} \nsupseteq \operatorname{\dashv\not{}}\operatorname{\bot\not{}} \neq \operatorname{\not{}x\doteq} \ncong \operatorname{\propto\not{}} \nprec \operatorname{\preccurlyeq\not{}} \nsim \operatorname{\smile\not{}}\operatorname{\frown\not{}}\operatorname{\not{}x\bowtie} \nsucc \operatorname{\succcurlyeq\not{}}$$</w:t>
            </w:r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1a721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bc80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e7b8b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2017-05-23T14:46:18Z</dcterms:created>
  <dcterms:modified xsi:type="dcterms:W3CDTF">2017-05-23T14:46:18Z</dcterms:modified>
</cp:coreProperties>
</file>