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RMarkdown,</w:t>
      </w:r>
      <w:r>
        <w:t xml:space="preserve"> </w:t>
      </w:r>
      <w:r>
        <w:t xml:space="preserve">Bookdown</w:t>
      </w:r>
      <w:r>
        <w:t xml:space="preserve"> </w:t>
      </w:r>
      <w:r>
        <w:t xml:space="preserve">or</w:t>
      </w:r>
      <w:r>
        <w:t xml:space="preserve"> </w:t>
      </w:r>
      <w:r>
        <w:t xml:space="preserve">Clavertondown?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n-introduction"/>
    <w:p>
      <w:pPr>
        <w:pStyle w:val="Heading1"/>
      </w:pPr>
      <w:r>
        <w:t xml:space="preserve">An introduction</w:t>
      </w:r>
    </w:p>
    <w:p>
      <w:pPr>
        <w:numPr>
          <w:ilvl w:val="0"/>
          <w:numId w:val="1001"/>
        </w:numPr>
        <w:pStyle w:val="Compact"/>
      </w:pPr>
      <w:r>
        <w:t xml:space="preserve">Requirements</w:t>
      </w:r>
    </w:p>
    <w:p>
      <w:pPr>
        <w:numPr>
          <w:ilvl w:val="0"/>
          <w:numId w:val="1001"/>
        </w:numPr>
        <w:pStyle w:val="Compact"/>
      </w:pPr>
      <w:r>
        <w:t xml:space="preserve">Formats and transforms</w:t>
      </w:r>
    </w:p>
    <w:p>
      <w:pPr>
        <w:numPr>
          <w:ilvl w:val="0"/>
          <w:numId w:val="1001"/>
        </w:numPr>
        <w:pStyle w:val="Compact"/>
      </w:pPr>
      <w:r>
        <w:t xml:space="preserve">RMarkdown</w:t>
      </w:r>
    </w:p>
    <w:p>
      <w:pPr>
        <w:numPr>
          <w:ilvl w:val="0"/>
          <w:numId w:val="1001"/>
        </w:numPr>
        <w:pStyle w:val="Compact"/>
      </w:pPr>
      <w:r>
        <w:t xml:space="preserve">Bookdown</w:t>
      </w:r>
    </w:p>
    <w:p>
      <w:pPr>
        <w:numPr>
          <w:ilvl w:val="0"/>
          <w:numId w:val="1001"/>
        </w:numPr>
        <w:pStyle w:val="Compact"/>
      </w:pPr>
      <w:r>
        <w:t xml:space="preserve">Clavertondown</w:t>
      </w:r>
    </w:p>
    <w:bookmarkEnd w:id="20"/>
    <w:bookmarkStart w:id="26" w:name="requirements"/>
    <w:p>
      <w:pPr>
        <w:pStyle w:val="Heading1"/>
      </w:pPr>
      <w:r>
        <w:t xml:space="preserve">Requirements</w:t>
      </w:r>
    </w:p>
    <w:p>
      <w:pPr>
        <w:numPr>
          <w:ilvl w:val="0"/>
          <w:numId w:val="1002"/>
        </w:numPr>
        <w:pStyle w:val="Compact"/>
      </w:pPr>
      <w:r>
        <w:t xml:space="preserve">Public Sector Bodies (Websites and Mobile Applications) (No. 2) Accessibility Regulations requires at least one of:</w:t>
      </w:r>
    </w:p>
    <w:p>
      <w:pPr>
        <w:numPr>
          <w:ilvl w:val="1"/>
          <w:numId w:val="1003"/>
        </w:numPr>
        <w:pStyle w:val="Compact"/>
      </w:pPr>
      <w:hyperlink r:id="rId21">
        <w:r>
          <w:rPr>
            <w:rStyle w:val="Hyperlink"/>
          </w:rPr>
          <w:t xml:space="preserve">Web: WCAG 2.1 AA</w:t>
        </w:r>
      </w:hyperlink>
      <w:r>
        <w:t xml:space="preserve"> </w:t>
      </w:r>
      <w:r>
        <w:t xml:space="preserve">+</w:t>
      </w:r>
      <w:r>
        <w:t xml:space="preserve"> </w:t>
      </w:r>
      <w:hyperlink r:id="rId22">
        <w:r>
          <w:rPr>
            <w:rStyle w:val="Hyperlink"/>
          </w:rPr>
          <w:t xml:space="preserve">MathJax!</w:t>
        </w:r>
      </w:hyperlink>
    </w:p>
    <w:p>
      <w:pPr>
        <w:numPr>
          <w:ilvl w:val="1"/>
          <w:numId w:val="1003"/>
        </w:numPr>
        <w:pStyle w:val="Compact"/>
      </w:pPr>
      <w:hyperlink r:id="rId23">
        <w:r>
          <w:rPr>
            <w:rStyle w:val="Hyperlink"/>
          </w:rPr>
          <w:t xml:space="preserve">Word 365: Accessibility checker + Equation editor</w:t>
        </w:r>
      </w:hyperlink>
    </w:p>
    <w:p>
      <w:pPr>
        <w:numPr>
          <w:ilvl w:val="1"/>
          <w:numId w:val="1003"/>
        </w:numPr>
        <w:pStyle w:val="Compact"/>
      </w:pPr>
      <w:hyperlink r:id="rId24">
        <w:r>
          <w:rPr>
            <w:rStyle w:val="Hyperlink"/>
          </w:rPr>
          <w:t xml:space="preserve">PowerPoint 365: Accessibility checker + Equation editor</w:t>
        </w:r>
      </w:hyperlink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EPub3 with MathML</w:t>
        </w:r>
      </w:hyperlink>
    </w:p>
    <w:p>
      <w:pPr>
        <w:numPr>
          <w:ilvl w:val="0"/>
          <w:numId w:val="1002"/>
        </w:numPr>
        <w:pStyle w:val="Compact"/>
      </w:pPr>
      <w:r>
        <w:t xml:space="preserve">Equality Act 2010</w:t>
      </w:r>
    </w:p>
    <w:p>
      <w:pPr>
        <w:numPr>
          <w:ilvl w:val="1"/>
          <w:numId w:val="1004"/>
        </w:numPr>
        <w:pStyle w:val="Compact"/>
      </w:pPr>
      <w:r>
        <w:t xml:space="preserve">Authors may need to provide additional formats to meet the needs of a specific student</w:t>
      </w:r>
    </w:p>
    <w:bookmarkEnd w:id="26"/>
    <w:bookmarkStart w:id="31" w:name="formats-and-transforms"/>
    <w:p>
      <w:pPr>
        <w:pStyle w:val="Heading1"/>
      </w:pPr>
      <w:r>
        <w:t xml:space="preserve">Formats and transforms</w:t>
      </w:r>
    </w:p>
    <w:p>
      <w:pPr>
        <w:pStyle w:val="CaptionedFigure"/>
      </w:pPr>
      <w:r>
        <w:drawing>
          <wp:inline>
            <wp:extent cx="5943600" cy="2882004"/>
            <wp:effectExtent b="0" l="0" r="0" t="0"/>
            <wp:docPr descr="Figure 2.1: Accessible and interactive map at https://www.mindomo.com/mindmap/document-transforms-2d8186b662758e26ccf50ef82a3828b2" title="" id="28" name="Picture"/>
            <a:graphic>
              <a:graphicData uri="http://schemas.openxmlformats.org/drawingml/2006/picture">
                <pic:pic>
                  <pic:nvPicPr>
                    <pic:cNvPr descr="map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Accessible and interactive map at</w:t>
      </w:r>
      <w:r>
        <w:t xml:space="preserve"> </w:t>
      </w:r>
      <w:hyperlink r:id="rId30">
        <w:r>
          <w:rPr>
            <w:rStyle w:val="Hyperlink"/>
          </w:rPr>
          <w:t xml:space="preserve">https://www.mindomo.com/mindmap/document-transforms-2d8186b662758e26ccf50ef82a3828b2</w:t>
        </w:r>
      </w:hyperlink>
    </w:p>
    <w:bookmarkEnd w:id="31"/>
    <w:bookmarkStart w:id="32" w:name="rmarkdown"/>
    <w:p>
      <w:pPr>
        <w:pStyle w:val="Heading1"/>
      </w:pPr>
      <w:r>
        <w:t xml:space="preserve">RMarkdown</w:t>
      </w:r>
    </w:p>
    <w:p>
      <w:pPr>
        <w:numPr>
          <w:ilvl w:val="0"/>
          <w:numId w:val="1005"/>
        </w:numPr>
        <w:pStyle w:val="Compact"/>
      </w:pPr>
      <w:r>
        <w:t xml:space="preserve">Simple one page documents</w:t>
      </w:r>
    </w:p>
    <w:p>
      <w:pPr>
        <w:numPr>
          <w:ilvl w:val="1"/>
          <w:numId w:val="1006"/>
        </w:numPr>
        <w:pStyle w:val="Compact"/>
      </w:pPr>
      <w:r>
        <w:t xml:space="preserve">Accessible: HTML, Word</w:t>
      </w:r>
    </w:p>
    <w:p>
      <w:pPr>
        <w:numPr>
          <w:ilvl w:val="1"/>
          <w:numId w:val="1006"/>
        </w:numPr>
        <w:pStyle w:val="Compact"/>
      </w:pPr>
      <w:r>
        <w:t xml:space="preserve">Accessible if no mathematical content: ODT, RTF</w:t>
      </w:r>
    </w:p>
    <w:p>
      <w:pPr>
        <w:numPr>
          <w:ilvl w:val="1"/>
          <w:numId w:val="1006"/>
        </w:numPr>
        <w:pStyle w:val="Compact"/>
      </w:pPr>
      <w:r>
        <w:t xml:space="preserve">Inaccessible: LaTeX/PDF</w:t>
      </w:r>
    </w:p>
    <w:p>
      <w:pPr>
        <w:numPr>
          <w:ilvl w:val="0"/>
          <w:numId w:val="1005"/>
        </w:numPr>
        <w:pStyle w:val="Compact"/>
      </w:pPr>
      <w:r>
        <w:t xml:space="preserve">Slides</w:t>
      </w:r>
    </w:p>
    <w:p>
      <w:pPr>
        <w:numPr>
          <w:ilvl w:val="1"/>
          <w:numId w:val="1007"/>
        </w:numPr>
        <w:pStyle w:val="Compact"/>
      </w:pPr>
      <w:r>
        <w:t xml:space="preserve">Possibly accessible: PowerPoint, HTML using ioslides, reveal.js, Slidy</w:t>
      </w:r>
    </w:p>
    <w:p>
      <w:pPr>
        <w:numPr>
          <w:ilvl w:val="1"/>
          <w:numId w:val="1007"/>
        </w:numPr>
        <w:pStyle w:val="Compact"/>
      </w:pPr>
      <w:r>
        <w:t xml:space="preserve">Inaccessible: LaTeX/Beamer</w:t>
      </w:r>
    </w:p>
    <w:bookmarkEnd w:id="32"/>
    <w:bookmarkStart w:id="33" w:name="bookdown"/>
    <w:p>
      <w:pPr>
        <w:pStyle w:val="Heading1"/>
      </w:pPr>
      <w:r>
        <w:t xml:space="preserve">Bookdown</w:t>
      </w:r>
    </w:p>
    <w:p>
      <w:pPr>
        <w:numPr>
          <w:ilvl w:val="0"/>
          <w:numId w:val="1008"/>
        </w:numPr>
        <w:pStyle w:val="Compact"/>
      </w:pPr>
      <w:r>
        <w:t xml:space="preserve">Designed to enable authors of</w:t>
      </w:r>
      <w:r>
        <w:t xml:space="preserve"> </w:t>
      </w:r>
      <w:r>
        <w:rPr>
          <w:bCs/>
          <w:b/>
        </w:rPr>
        <w:t xml:space="preserve">books</w:t>
      </w:r>
      <w:r>
        <w:t xml:space="preserve"> </w:t>
      </w:r>
      <w:r>
        <w:t xml:space="preserve">or longer structured documents</w:t>
      </w:r>
    </w:p>
    <w:p>
      <w:pPr>
        <w:numPr>
          <w:ilvl w:val="0"/>
          <w:numId w:val="1008"/>
        </w:numPr>
        <w:pStyle w:val="Compact"/>
      </w:pPr>
      <w:r>
        <w:t xml:space="preserve">Needed for:</w:t>
      </w:r>
    </w:p>
    <w:p>
      <w:pPr>
        <w:numPr>
          <w:ilvl w:val="1"/>
          <w:numId w:val="1009"/>
        </w:numPr>
        <w:pStyle w:val="Compact"/>
      </w:pPr>
      <w:r>
        <w:t xml:space="preserve">Parts and appendices</w:t>
      </w:r>
    </w:p>
    <w:p>
      <w:pPr>
        <w:numPr>
          <w:ilvl w:val="1"/>
          <w:numId w:val="1009"/>
        </w:numPr>
        <w:pStyle w:val="Compact"/>
      </w:pPr>
      <w:r>
        <w:t xml:space="preserve">Finer control of figures</w:t>
      </w:r>
    </w:p>
    <w:p>
      <w:pPr>
        <w:numPr>
          <w:ilvl w:val="1"/>
          <w:numId w:val="1009"/>
        </w:numPr>
        <w:pStyle w:val="Compact"/>
      </w:pPr>
      <w:r>
        <w:t xml:space="preserve">Automatic numbering and cross-referencing of figures, tables with captions</w:t>
      </w:r>
    </w:p>
    <w:p>
      <w:pPr>
        <w:numPr>
          <w:ilvl w:val="1"/>
          <w:numId w:val="1009"/>
        </w:numPr>
        <w:pStyle w:val="Compact"/>
      </w:pPr>
      <w:r>
        <w:t xml:space="preserve">Cross referencing of pieces of text</w:t>
      </w:r>
    </w:p>
    <w:p>
      <w:pPr>
        <w:numPr>
          <w:ilvl w:val="1"/>
          <w:numId w:val="1009"/>
        </w:numPr>
        <w:pStyle w:val="Compact"/>
      </w:pPr>
      <w:r>
        <w:t xml:space="preserve">Equation numbering and referencing</w:t>
      </w:r>
    </w:p>
    <w:p>
      <w:pPr>
        <w:numPr>
          <w:ilvl w:val="1"/>
          <w:numId w:val="1009"/>
        </w:numPr>
        <w:pStyle w:val="Compact"/>
      </w:pPr>
      <w:r>
        <w:t xml:space="preserve">Theorem and proof environments with numbering and referencing</w:t>
      </w:r>
    </w:p>
    <w:p>
      <w:pPr>
        <w:numPr>
          <w:ilvl w:val="1"/>
          <w:numId w:val="1009"/>
        </w:numPr>
        <w:pStyle w:val="Compact"/>
      </w:pPr>
      <w:r>
        <w:t xml:space="preserve">Definition of custom environments</w:t>
      </w:r>
    </w:p>
    <w:p>
      <w:pPr>
        <w:numPr>
          <w:ilvl w:val="1"/>
          <w:numId w:val="1009"/>
        </w:numPr>
        <w:pStyle w:val="Compact"/>
      </w:pPr>
      <w:r>
        <w:t xml:space="preserve">Citation management via Pandoc, biblatex or natbib</w:t>
      </w:r>
    </w:p>
    <w:p>
      <w:pPr>
        <w:numPr>
          <w:ilvl w:val="1"/>
          <w:numId w:val="1009"/>
        </w:numPr>
        <w:pStyle w:val="Compact"/>
      </w:pPr>
      <w:r>
        <w:t xml:space="preserve">Embedding of web pages and HTML widgets</w:t>
      </w:r>
    </w:p>
    <w:p>
      <w:pPr>
        <w:numPr>
          <w:ilvl w:val="0"/>
          <w:numId w:val="1008"/>
        </w:numPr>
        <w:pStyle w:val="Compact"/>
      </w:pPr>
      <w:r>
        <w:t xml:space="preserve">Output to HTML book, LaTeX/PDF and EPub3 only</w:t>
      </w:r>
    </w:p>
    <w:bookmarkEnd w:id="33"/>
    <w:bookmarkStart w:id="34" w:name="clavertondown"/>
    <w:p>
      <w:pPr>
        <w:pStyle w:val="Heading1"/>
      </w:pPr>
      <w:r>
        <w:t xml:space="preserve">ClavertonDown</w:t>
      </w:r>
    </w:p>
    <w:p>
      <w:pPr>
        <w:numPr>
          <w:ilvl w:val="0"/>
          <w:numId w:val="1010"/>
        </w:numPr>
        <w:pStyle w:val="Compact"/>
      </w:pPr>
      <w:r>
        <w:t xml:space="preserve">Designed to enable authors of</w:t>
      </w:r>
      <w:r>
        <w:t xml:space="preserve"> </w:t>
      </w:r>
      <w:r>
        <w:rPr>
          <w:bCs/>
          <w:b/>
        </w:rPr>
        <w:t xml:space="preserve">lecture notes</w:t>
      </w:r>
      <w:r>
        <w:t xml:space="preserve"> </w:t>
      </w:r>
      <w:r>
        <w:t xml:space="preserve">to meet the diverse needs of students by production of a coherent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of formats</w:t>
      </w:r>
    </w:p>
    <w:p>
      <w:pPr>
        <w:numPr>
          <w:ilvl w:val="0"/>
          <w:numId w:val="1010"/>
        </w:numPr>
        <w:pStyle w:val="Compact"/>
      </w:pPr>
      <w:r>
        <w:t xml:space="preserve">Needed for:</w:t>
      </w:r>
    </w:p>
    <w:p>
      <w:pPr>
        <w:numPr>
          <w:ilvl w:val="1"/>
          <w:numId w:val="1011"/>
        </w:numPr>
        <w:pStyle w:val="Compact"/>
      </w:pPr>
      <w:r>
        <w:t xml:space="preserve">Flexible theorem-like environments akin to newtheorem in LaTeX including styling, numbering and classification of type to enable structured colour</w:t>
      </w:r>
    </w:p>
    <w:p>
      <w:pPr>
        <w:numPr>
          <w:ilvl w:val="2"/>
          <w:numId w:val="1012"/>
        </w:numPr>
        <w:pStyle w:val="Compact"/>
      </w:pPr>
      <w:r>
        <w:t xml:space="preserve">Numbering system of inbuilt Bookdown theorems can be changed</w:t>
      </w:r>
    </w:p>
    <w:p>
      <w:pPr>
        <w:numPr>
          <w:ilvl w:val="2"/>
          <w:numId w:val="1012"/>
        </w:numPr>
        <w:pStyle w:val="Compact"/>
      </w:pPr>
      <w:r>
        <w:t xml:space="preserve">It is possible to reference other environments within theorem names</w:t>
      </w:r>
    </w:p>
    <w:p>
      <w:pPr>
        <w:numPr>
          <w:ilvl w:val="2"/>
          <w:numId w:val="1012"/>
        </w:numPr>
        <w:pStyle w:val="Compact"/>
      </w:pPr>
      <w:r>
        <w:t xml:space="preserve">Unnumbered theorem environments</w:t>
      </w:r>
    </w:p>
    <w:p>
      <w:pPr>
        <w:numPr>
          <w:ilvl w:val="2"/>
          <w:numId w:val="1012"/>
        </w:numPr>
        <w:pStyle w:val="Compact"/>
      </w:pPr>
      <w:r>
        <w:t xml:space="preserve">Shared numbering e.g. between theorem and proposition</w:t>
      </w:r>
    </w:p>
    <w:p>
      <w:pPr>
        <w:numPr>
          <w:ilvl w:val="2"/>
          <w:numId w:val="1012"/>
        </w:numPr>
        <w:pStyle w:val="Compact"/>
      </w:pPr>
      <w:r>
        <w:t xml:space="preserve">Newtheorem-type definition of theorem-like environments</w:t>
      </w:r>
    </w:p>
    <w:p>
      <w:pPr>
        <w:numPr>
          <w:ilvl w:val="2"/>
          <w:numId w:val="1012"/>
        </w:numPr>
        <w:pStyle w:val="Compact"/>
      </w:pPr>
      <w:r>
        <w:t xml:space="preserve">Repeating theorem-like environments</w:t>
      </w:r>
    </w:p>
    <w:p>
      <w:pPr>
        <w:numPr>
          <w:ilvl w:val="1"/>
          <w:numId w:val="1011"/>
        </w:numPr>
        <w:pStyle w:val="Compact"/>
      </w:pPr>
      <w:r>
        <w:t xml:space="preserve">Inclusion of figures in WHATSIT custom blocks</w:t>
      </w:r>
    </w:p>
    <w:p>
      <w:pPr>
        <w:numPr>
          <w:ilvl w:val="1"/>
          <w:numId w:val="1011"/>
        </w:numPr>
        <w:pStyle w:val="Compact"/>
      </w:pPr>
      <w:r>
        <w:t xml:space="preserve">Limited control over visual presentation to enable a coherent set of notes with</w:t>
      </w:r>
    </w:p>
    <w:p>
      <w:pPr>
        <w:numPr>
          <w:ilvl w:val="2"/>
          <w:numId w:val="1013"/>
        </w:numPr>
        <w:pStyle w:val="Compact"/>
      </w:pPr>
      <w:r>
        <w:t xml:space="preserve">Known accessibility features</w:t>
      </w:r>
    </w:p>
    <w:p>
      <w:pPr>
        <w:numPr>
          <w:ilvl w:val="2"/>
          <w:numId w:val="1013"/>
        </w:numPr>
        <w:pStyle w:val="Compact"/>
      </w:pPr>
      <w:r>
        <w:t xml:space="preserve">Clear visual markers of structure</w:t>
      </w:r>
    </w:p>
    <w:p>
      <w:pPr>
        <w:numPr>
          <w:ilvl w:val="0"/>
          <w:numId w:val="1010"/>
        </w:numPr>
        <w:pStyle w:val="Compact"/>
      </w:pPr>
      <w:r>
        <w:t xml:space="preserve">Output as a mini-linked site of a set of formats which can include HTML book, HTML page, Word, EPub3, standard PDF, clear print PDF and large print PDF</w:t>
      </w:r>
    </w:p>
    <w:bookmarkEnd w:id="34"/>
    <w:bookmarkStart w:id="37" w:name="more-information"/>
    <w:p>
      <w:pPr>
        <w:pStyle w:val="Heading1"/>
      </w:pPr>
      <w:r>
        <w:t xml:space="preserve">More information</w:t>
      </w:r>
    </w:p>
    <w:p>
      <w:pPr>
        <w:numPr>
          <w:ilvl w:val="0"/>
          <w:numId w:val="1014"/>
        </w:numPr>
        <w:pStyle w:val="Compact"/>
      </w:pPr>
      <w:hyperlink r:id="rId35">
        <w:r>
          <w:rPr>
            <w:rStyle w:val="Hyperlink"/>
          </w:rPr>
          <w:t xml:space="preserve">ClavertonDown</w:t>
        </w:r>
      </w:hyperlink>
    </w:p>
    <w:p>
      <w:pPr>
        <w:numPr>
          <w:ilvl w:val="0"/>
          <w:numId w:val="1014"/>
        </w:numPr>
        <w:pStyle w:val="Compact"/>
      </w:pPr>
      <w:hyperlink r:id="rId36">
        <w:r>
          <w:rPr>
            <w:rStyle w:val="Hyperlink"/>
          </w:rPr>
          <w:t xml:space="preserve">MASH Accessible Maths project</w:t>
        </w:r>
      </w:hyperlink>
    </w:p>
    <w:bookmarkEnd w:id="37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1" Target="https://accessibilityinsights.io/docs/en/web/overview" TargetMode="External" /><Relationship Type="http://schemas.openxmlformats.org/officeDocument/2006/relationships/hyperlink" Id="rId35" Target="https://bathmash.github.io/clavertondown/" TargetMode="External" /><Relationship Type="http://schemas.openxmlformats.org/officeDocument/2006/relationships/hyperlink" Id="rId22" Target="https://docs.mathjax.org/en/v2.7-latest/misc/accessibility-features.html" TargetMode="External" /><Relationship Type="http://schemas.openxmlformats.org/officeDocument/2006/relationships/hyperlink" Id="rId25" Target="https://docs.mathjax.org/en/v2.7-latest/misc/epub.html" TargetMode="External" /><Relationship Type="http://schemas.openxmlformats.org/officeDocument/2006/relationships/hyperlink" Id="rId24" Target="https://support.microsoft.com/en-us/office/make-your-powerpoint-presentations-accessible-to-people-with-disabilities-6f7772b2-2f33-4bd2-8ca7-dae3b2b3ef25" TargetMode="External" /><Relationship Type="http://schemas.openxmlformats.org/officeDocument/2006/relationships/hyperlink" Id="rId23" Target="https://support.office.com/en-gb/article/make-your-word-documents-accessible-to-people-with-disabilities-d9bf3683-87ac-47ea-b91a-78dcacb3c66d" TargetMode="External" /><Relationship Type="http://schemas.openxmlformats.org/officeDocument/2006/relationships/hyperlink" Id="rId36" Target="https://www.bath.ac.uk/projects/mathematics-accessibility/" TargetMode="External" /><Relationship Type="http://schemas.openxmlformats.org/officeDocument/2006/relationships/hyperlink" Id="rId30" Target="https://www.mindomo.com/mindmap/document-transforms-2d8186b662758e26ccf50ef82a3828b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ccessibilityinsights.io/docs/en/web/overview" TargetMode="External" /><Relationship Type="http://schemas.openxmlformats.org/officeDocument/2006/relationships/hyperlink" Id="rId35" Target="https://bathmash.github.io/clavertondown/" TargetMode="External" /><Relationship Type="http://schemas.openxmlformats.org/officeDocument/2006/relationships/hyperlink" Id="rId22" Target="https://docs.mathjax.org/en/v2.7-latest/misc/accessibility-features.html" TargetMode="External" /><Relationship Type="http://schemas.openxmlformats.org/officeDocument/2006/relationships/hyperlink" Id="rId25" Target="https://docs.mathjax.org/en/v2.7-latest/misc/epub.html" TargetMode="External" /><Relationship Type="http://schemas.openxmlformats.org/officeDocument/2006/relationships/hyperlink" Id="rId24" Target="https://support.microsoft.com/en-us/office/make-your-powerpoint-presentations-accessible-to-people-with-disabilities-6f7772b2-2f33-4bd2-8ca7-dae3b2b3ef25" TargetMode="External" /><Relationship Type="http://schemas.openxmlformats.org/officeDocument/2006/relationships/hyperlink" Id="rId23" Target="https://support.office.com/en-gb/article/make-your-word-documents-accessible-to-people-with-disabilities-d9bf3683-87ac-47ea-b91a-78dcacb3c66d" TargetMode="External" /><Relationship Type="http://schemas.openxmlformats.org/officeDocument/2006/relationships/hyperlink" Id="rId36" Target="https://www.bath.ac.uk/projects/mathematics-accessibility/" TargetMode="External" /><Relationship Type="http://schemas.openxmlformats.org/officeDocument/2006/relationships/hyperlink" Id="rId30" Target="https://www.mindomo.com/mindmap/document-transforms-2d8186b662758e26ccf50ef82a3828b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RMarkdown, Bookdown or Clavertondown?</dc:title>
  <dc:creator>Emma Cliffe, Skills Centre: MASH</dc:creator>
  <cp:keywords/>
  <dcterms:created xsi:type="dcterms:W3CDTF">2022-09-05T21:08:23Z</dcterms:created>
  <dcterms:modified xsi:type="dcterms:W3CDTF">2022-09-05T21:08:23Z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ocumentclass">
    <vt:lpwstr>article</vt:lpwstr>
  </property>
  <property fmtid="{D5CDD505-2E9C-101B-9397-08002B2CF9AE}" pid="4" name="fontsize">
    <vt:lpwstr>10pt</vt:lpwstr>
  </property>
  <property fmtid="{D5CDD505-2E9C-101B-9397-08002B2CF9AE}" pid="5" name="geometry">
    <vt:lpwstr>margin=2.5cm</vt:lpwstr>
  </property>
  <property fmtid="{D5CDD505-2E9C-101B-9397-08002B2CF9AE}" pid="6" name="header-includes">
    <vt:lpwstr/>
  </property>
  <property fmtid="{D5CDD505-2E9C-101B-9397-08002B2CF9AE}" pid="7" name="language">
    <vt:lpwstr>en</vt:lpwstr>
  </property>
  <property fmtid="{D5CDD505-2E9C-101B-9397-08002B2CF9AE}" pid="8" name="linkcolor">
    <vt:lpwstr>blue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