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 развитии образовательного навигатора</w:t>
      </w:r>
    </w:p>
    <w:p>
      <w:pPr>
        <w:pStyle w:val="Subtitle"/>
      </w:pPr>
      <w:r>
        <w:t>Проект Ресоциализация участников СВО   Версия 2.0</w:t>
      </w:r>
    </w:p>
    <w:p>
      <w:r>
        <w:t>Рабочая редакция для согласования · 6 сентября 2026 года</w:t>
      </w:r>
    </w:p>
    <w:p>
      <w:r>
        <w:t>Подготовлена первая очередь версии 2.0: переработан интерфейс, рекомендации связаны с единым реестром, добавлены сравнение и избранное, собраны 238 записей из официальных источников. В корпус вошли все 163 карточки основного каталога РГСУ по шести уровням образования. Полный охват филиалов, ДПО и вузов России пока не достигнут.</w:t>
      </w:r>
    </w:p>
    <w:p>
      <w:r>
        <w:t>Отчёт фиксирует выполненные работы и границы проверки. Он не является актом приёмки промышленной системы. Генеративная модель, обработка заявок, интеграции и доказанная пользовательская эффективность не заявляются как реализованные результаты.</w:t>
      </w:r>
    </w:p>
    <w:p>
      <w:pPr>
        <w:pStyle w:val="Heading1"/>
      </w:pPr>
      <w:r>
        <w:t>1 Основание и обратная связь</w:t>
      </w:r>
    </w:p>
    <w:p>
      <w:r>
        <w:t>Ранее коллегам были направлены промежуточные материалы и ссылка на прототип 1.0. В сообщении содержалось приглашение на «Техносреду» 2 сентября в 16:45 в аудиторию 203 Технопарка. Протокол встречи и сведения о её фактическом проведении не предоставлены; решения по итогам встречи не реконструируются.</w:t>
      </w:r>
    </w:p>
    <w:p>
      <w:r>
        <w:t>Подтверждённая обратная связь инициатора: улучшить дизайн и найти реальные образовательные программы РГСУ и других вузов. Дополнительно определён национальный охват с поэтапным наполнением. Эти уточнения стали основанием редакции 2.0.</w:t>
      </w:r>
    </w:p>
    <w:p>
      <w:pPr>
        <w:pStyle w:val="Heading1"/>
      </w:pPr>
      <w:r>
        <w:t>2 Что показал аудит версии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005"/>
        <w:gridCol w:w="3628"/>
      </w:tblGrid>
      <w:tr>
        <w:trPr>
          <w:cantSplit/>
          <w:tblHeader/>
        </w:trPr>
        <w:tc>
          <w:tcPr>
            <w:tcW w:type="dxa" w:w="2835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Наблюдение</w:t>
            </w:r>
          </w:p>
        </w:tc>
        <w:tc>
          <w:tcPr>
            <w:tcW w:type="dxa" w:w="3005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Основание</w:t>
            </w:r>
          </w:p>
        </w:tc>
        <w:tc>
          <w:tcPr>
            <w:tcW w:type="dxa" w:w="3628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Каталог содержал 1 027 строк с демонстрационной маркировкой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Публичная страница и data/programs.csv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Новый реестр формируется отдельно из прочитанных официальных источников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Рекомендации выбирались из шести заранее заданных примеров</w:t>
            </w:r>
          </w:p>
        </w:tc>
        <w:tc>
          <w:tcPr>
            <w:tcW w:type="dxa" w:w="3005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Массив featuredPrograms и renderRecommendations в опубликованном исходном коде</w:t>
            </w:r>
          </w:p>
        </w:tc>
        <w:tc>
          <w:tcPr>
            <w:tcW w:type="dxa" w:w="362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Рекомендации рассчитываются по тому же реестру, который открыт в каталоге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Образование не использовалось как жёсткий ограничитель, формат и регион давали лишь прибавку к баллам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Код renderRecommendations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Базовые ограничения применяются до ранжирования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Форма обращения демонстрировала отправку без реального запроса</w:t>
            </w:r>
          </w:p>
        </w:tc>
        <w:tc>
          <w:tcPr>
            <w:tcW w:type="dxa" w:w="3005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Обработчик формы и сообщение прототипа</w:t>
            </w:r>
          </w:p>
        </w:tc>
        <w:tc>
          <w:tcPr>
            <w:tcW w:type="dxa" w:w="362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Предложены реальные контакты РГСУ и файл вопросов без ложной заявки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Исходный документ называл React и TypeScript, тогда как репозиторий содержал HTML, CSS и JavaScript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Сопоставление раздела 9.2 исходного ТЗ с репозиторием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В этом отчёте технология описана по фактической реализации</w:t>
            </w:r>
          </w:p>
        </w:tc>
      </w:tr>
    </w:tbl>
    <w:p>
      <w:pPr>
        <w:spacing w:after="40"/>
      </w:pPr>
    </w:p>
    <w:p>
      <w:pPr>
        <w:pStyle w:val="Heading1"/>
      </w:pPr>
      <w:r>
        <w:t>3 Реализованные изменения</w:t>
      </w:r>
    </w:p>
    <w:p>
      <w:pPr>
        <w:pStyle w:val="ListBullet"/>
      </w:pPr>
      <w:r>
        <w:t>Новый интерфейс с постоянной навигацией, рабочим подбором на первом экране, светлыми карточками и единым синим акцентом действий.</w:t>
      </w:r>
    </w:p>
    <w:p>
      <w:pPr>
        <w:pStyle w:val="ListBullet"/>
      </w:pPr>
      <w:r>
        <w:t>Шесть разделов: подбор, каталог, избранное, сравнение, источники и помощь. Для мобильного экрана предусмотрена компактная навигация.</w:t>
      </w:r>
    </w:p>
    <w:p>
      <w:pPr>
        <w:pStyle w:val="ListBullet"/>
      </w:pPr>
      <w:r>
        <w:t>Четырёхшаговый профиль с необязательным свободным описанием, выбором образования и условий, подтверждением распознанных направлений.</w:t>
      </w:r>
    </w:p>
    <w:p>
      <w:pPr>
        <w:pStyle w:val="ListBullet"/>
      </w:pPr>
      <w:r>
        <w:t>Поиск по названию, вузу, коду, региону и классификационным тегам; фильтры уровня, региона, формы, направления, РГСУ и наличия опубликованных бюджетных мест.</w:t>
      </w:r>
    </w:p>
    <w:p>
      <w:pPr>
        <w:pStyle w:val="ListBullet"/>
      </w:pPr>
      <w:r>
        <w:t>Карточки со ссылкой на источник, датой сверки и неизвестными полями; стоимость «от» и неопределённый набор обозначены отдельно.</w:t>
      </w:r>
    </w:p>
    <w:p>
      <w:pPr>
        <w:pStyle w:val="ListBullet"/>
      </w:pPr>
      <w:r>
        <w:t>Сравнение до трёх программ, печать таблицы, избранное в текущем браузере.</w:t>
      </w:r>
    </w:p>
    <w:p>
      <w:pPr>
        <w:pStyle w:val="ListBullet"/>
      </w:pPr>
      <w:r>
        <w:t>Независимые настройки текста, контраста, размера кнопок, подчёркивания ссылок, количества дополнительных блоков и движения.</w:t>
      </w:r>
    </w:p>
    <w:p>
      <w:pPr>
        <w:pStyle w:val="ListBullet"/>
      </w:pPr>
      <w:r>
        <w:t>Официальные контакты приёмной комиссии РГСУ и скачивание вопросов для консультации. Свободный текст профиля в скачиваемый файл не включается.</w:t>
      </w:r>
    </w:p>
    <w:p>
      <w:r>
        <w:t>Фактическая технология: HTML, CSS и JavaScript ES Modules; статический JSON-каталог; отдельный модуль правил; сборка и тесты средствами Node.js. Клиентская сборка не требует ключа ИИ-провайдера и не содержит серверного хранилища заявок.</w:t>
      </w:r>
    </w:p>
    <w:p>
      <w:pPr>
        <w:pStyle w:val="Heading1"/>
      </w:pPr>
      <w:r>
        <w:t>4 Каталог и его подтверждённый охват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020"/>
        <w:gridCol w:w="6690"/>
      </w:tblGrid>
      <w:tr>
        <w:trPr>
          <w:cantSplit/>
          <w:tblHeader/>
        </w:trPr>
        <w:tc>
          <w:tcPr>
            <w:tcW w:type="dxa" w:w="1757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1020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Число</w:t>
            </w:r>
          </w:p>
        </w:tc>
        <w:tc>
          <w:tcPr>
            <w:tcW w:type="dxa" w:w="6690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Что включено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РГСУ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163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Все 163 карточки головного каталога на дату проверки. СПО, бакалавриат, специалитет, магистратура, аспирантура, ординатура. Филиалы и ДПО не входят в этот знаменатель.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ИТМО</w:t>
            </w:r>
          </w:p>
        </w:tc>
        <w:tc>
          <w:tcPr>
            <w:tcW w:type="dxa" w:w="10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20</w:t>
            </w:r>
          </w:p>
        </w:tc>
        <w:tc>
          <w:tcPr>
            <w:tcW w:type="dxa" w:w="669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20 карточек первой страницы из 27 заявленных программ бакалавриата. Детальные условия дополнены для программы системного и прикладного ПО.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ТПУ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36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36 направлений бакалавриата и специалитета из перечня 2026 года. Профили и условия каждой программы требуют следующей сверки.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РГУТИС</w:t>
            </w:r>
          </w:p>
        </w:tc>
        <w:tc>
          <w:tcPr>
            <w:tcW w:type="dxa" w:w="10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16</w:t>
            </w:r>
          </w:p>
        </w:tc>
        <w:tc>
          <w:tcPr>
            <w:tcW w:type="dxa" w:w="669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16 однозначно выделенных профилей головного вуза. Строки с объединёнными профилями и отдельным институтом оставлены для ручной сверки.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УрФУ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1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Одна программа ИРИТ-РТФ. Стоимость «до» не преобразована в цену «от».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СКФУ</w:t>
            </w:r>
          </w:p>
        </w:tc>
        <w:tc>
          <w:tcPr>
            <w:tcW w:type="dxa" w:w="10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1</w:t>
            </w:r>
          </w:p>
        </w:tc>
        <w:tc>
          <w:tcPr>
            <w:tcW w:type="dxa" w:w="669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Одна программа; условия дополнены по странице Центра ТОП ИТ. Требования внутреннего отбора не считаются подтверждённым допуском.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КФУ · Набережночелнинский институт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1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Одна программа. Кампус в Набережных Челнах, не в Казани.</w:t>
            </w:r>
          </w:p>
        </w:tc>
      </w:tr>
    </w:tbl>
    <w:p>
      <w:pPr>
        <w:spacing w:after="40"/>
      </w:pPr>
    </w:p>
    <w:p>
      <w:r>
        <w:t>Всего — 238 записей: 202 карточки программ или профилей и 36 направлений ТПУ. Сумма является числом записей разных явно обозначенных типов, а не количеством уникальных предложений приёма. Представлены семь вузов или подразделений в шести федеральных округах. Южный и Дальневосточный округа в первой очереди ещё не представлены.</w:t>
      </w:r>
    </w:p>
    <w:p>
      <w:pPr>
        <w:pStyle w:val="Heading2"/>
      </w:pPr>
      <w:r>
        <w:t>4.1 Основной каталог РГСУ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30"/>
        <w:gridCol w:w="2438"/>
      </w:tblGrid>
      <w:tr>
        <w:trPr>
          <w:cantSplit/>
          <w:tblHeader/>
        </w:trPr>
        <w:tc>
          <w:tcPr>
            <w:tcW w:type="dxa" w:w="7030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2438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Карточек</w:t>
            </w:r>
          </w:p>
        </w:tc>
      </w:tr>
      <w:tr>
        <w:trPr>
          <w:cantSplit/>
        </w:trPr>
        <w:tc>
          <w:tcPr>
            <w:tcW w:type="dxa" w:w="703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Бакалавриат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51</w:t>
            </w:r>
          </w:p>
        </w:tc>
      </w:tr>
      <w:tr>
        <w:trPr>
          <w:cantSplit/>
        </w:trPr>
        <w:tc>
          <w:tcPr>
            <w:tcW w:type="dxa" w:w="703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Специалитет</w:t>
            </w:r>
          </w:p>
        </w:tc>
        <w:tc>
          <w:tcPr>
            <w:tcW w:type="dxa" w:w="243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703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СПО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21</w:t>
            </w:r>
          </w:p>
        </w:tc>
      </w:tr>
      <w:tr>
        <w:trPr>
          <w:cantSplit/>
        </w:trPr>
        <w:tc>
          <w:tcPr>
            <w:tcW w:type="dxa" w:w="703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Магистратура</w:t>
            </w:r>
          </w:p>
        </w:tc>
        <w:tc>
          <w:tcPr>
            <w:tcW w:type="dxa" w:w="243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47</w:t>
            </w:r>
          </w:p>
        </w:tc>
      </w:tr>
      <w:tr>
        <w:trPr>
          <w:cantSplit/>
        </w:trPr>
        <w:tc>
          <w:tcPr>
            <w:tcW w:type="dxa" w:w="703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Аспирантура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28</w:t>
            </w:r>
          </w:p>
        </w:tc>
      </w:tr>
      <w:tr>
        <w:trPr>
          <w:cantSplit/>
        </w:trPr>
        <w:tc>
          <w:tcPr>
            <w:tcW w:type="dxa" w:w="703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Ординатура</w:t>
            </w:r>
          </w:p>
        </w:tc>
        <w:tc>
          <w:tcPr>
            <w:tcW w:type="dxa" w:w="243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703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Всего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163</w:t>
            </w:r>
          </w:p>
        </w:tc>
      </w:tr>
    </w:tbl>
    <w:p>
      <w:pPr>
        <w:spacing w:after="40"/>
      </w:pPr>
    </w:p>
    <w:p>
      <w:r>
        <w:t>Число 163 сверено с карточками на странице основного каталога. Оно не подменяет опубликованный вузом общий показатель 340 образовательных программ: основания и состав этих показателей различаются. Полнота 163 из 163 относится только к указанной странице, шести уровням и дате проверки.</w:t>
      </w:r>
    </w:p>
    <w:p>
      <w:pPr>
        <w:pStyle w:val="Heading2"/>
      </w:pPr>
      <w:r>
        <w:t>4.2 Пробелы и качество источников</w:t>
      </w:r>
    </w:p>
    <w:p>
      <w:pPr>
        <w:pStyle w:val="ListBullet"/>
      </w:pPr>
      <w:r>
        <w:t>Портал ДПО РГСУ найден по ссылке с основного сайта. Полученная версия страницы содержит шаблонные фрагменты в сравнении и не предоставляет надёжный полный перечень курсов. Такие фрагменты не импортированы.</w:t>
      </w:r>
    </w:p>
    <w:p>
      <w:pPr>
        <w:pStyle w:val="ListBullet"/>
      </w:pPr>
      <w:r>
        <w:t>Филиалы РГСУ требуют самостоятельной сверки. Нельзя переносить условия головного вуза в другой город или считать зарубежный филиал частью российского охвата.</w:t>
      </w:r>
    </w:p>
    <w:p>
      <w:pPr>
        <w:pStyle w:val="ListBullet"/>
      </w:pPr>
      <w:r>
        <w:t>В ИТМО прочитаны 20 видимых карточек первой страницы при 27 заявленных программах бакалавриата. Полнота списка ИТМО не заявляется.</w:t>
      </w:r>
    </w:p>
    <w:p>
      <w:pPr>
        <w:pStyle w:val="ListBullet"/>
      </w:pPr>
      <w:r>
        <w:t>Для ТПУ подтверждён перечень направлений 2026 года; стоимость, срок и форма конкретного профиля не восстановлены по догадке.</w:t>
      </w:r>
    </w:p>
    <w:p>
      <w:pPr>
        <w:pStyle w:val="ListBullet"/>
      </w:pPr>
      <w:r>
        <w:t>В РГУТИС импортированы 16 однозначных профилей; объединённые строки и отдельный институт оставлены для дополнительной сверки.</w:t>
      </w:r>
    </w:p>
    <w:p>
      <w:pPr>
        <w:pStyle w:val="ListBullet"/>
      </w:pPr>
      <w:r>
        <w:t>В УрФУ стоимость указана как верхняя граница. Она не записана в поле нижней цены.</w:t>
      </w:r>
    </w:p>
    <w:p>
      <w:pPr>
        <w:pStyle w:val="ListBullet"/>
      </w:pPr>
      <w:r>
        <w:t>В КФУ сохранён фактический Набережночелнинский институт; программа не отнесена к кампусу в Казани.</w:t>
      </w:r>
    </w:p>
    <w:p>
      <w:pPr>
        <w:pStyle w:val="ListBullet"/>
      </w:pPr>
      <w:r>
        <w:t>Прежний массив 1 027 строк сохранён в исходных материалах и не используется в новой выдаче без проверки.</w:t>
      </w:r>
    </w:p>
    <w:p>
      <w:r>
        <w:t>Поле «проверено» в этой очереди означает сверку опубликованного источника. Ответственный сотрудник вуза не подтверждал каждую запись. Неизвестные сведения и требования внутреннего отбора остаются явными ограничениями.</w:t>
      </w:r>
    </w:p>
    <w:p>
      <w:pPr>
        <w:pStyle w:val="Heading1"/>
      </w:pPr>
      <w:r>
        <w:t>5 Реализованная логика подбора</w:t>
      </w:r>
    </w:p>
    <w:p>
      <w:r>
        <w:t>Подбор использует воспроизводимые правила. Учитываются завершённое образование, выбранные направления, округ, форма, точный срок и бюджетные условия. Темы, предложенные по словам описания, пользователь может исправить. Если известное условие противоречит запросу, запись исключается. Если критичное значение неизвестно, запись показывается отдельно для уточнения.</w:t>
      </w:r>
    </w:p>
    <w:p>
      <w:r>
        <w:t>При одинаковой внутренней оценке сначала показываются программы РГСУ. Этот порядок раскрыт в интерфейсе. РГСУ не получает бонус, способный обойти ограничения. Пользовательский процент успеха не рассчитывается; генеративный ИИ не подключён. Сопоставление слов ограничено и не заменяет профессиональную ориентацию.</w:t>
      </w:r>
    </w:p>
    <w:p>
      <w:r>
        <w:t>Существенный пример: запрос «до шести месяцев» не превращает четырёхлетний бакалавриат в короткую программу. Если подтверждённых коротких курсов в корпусе нет, сервис сообщает об отсутствии подходящих вариантов. Аналогично наличие ДОТ не подтверждает обучение без очных посещений.</w:t>
      </w:r>
    </w:p>
    <w:p>
      <w:pPr>
        <w:pStyle w:val="Heading1"/>
      </w:pPr>
      <w:r>
        <w:t>6 Проверки и границы доказательств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520"/>
      </w:tblGrid>
      <w:tr>
        <w:trPr>
          <w:cantSplit/>
          <w:tblHeader/>
        </w:trPr>
        <w:tc>
          <w:tcPr>
            <w:tcW w:type="dxa" w:w="2948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6520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Автоматические тесты каталога и правил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24 теста пройдены. Проверены ID, источники, состав РГСУ, уровни, округ, формы, сроки, бюджет, точное равенство при приоритете РГСУ и объяснения.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Синтаксис клиентского приложения</w:t>
            </w:r>
          </w:p>
        </w:tc>
        <w:tc>
          <w:tcPr>
            <w:tcW w:type="dxa" w:w="65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Проверка JavaScript выполнена без ошибок.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Локальный запуск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Страница отвечает HTTP 200. Предварительный просмотр открыт в Codex.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Пользовательские и браузерные испытания</w:t>
            </w:r>
          </w:p>
        </w:tc>
        <w:tc>
          <w:tcPr>
            <w:tcW w:type="dxa" w:w="65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Отдельная сквозная проверка в браузере, экранным диктором и целевой аудиторией не проводилась. Требуется перед внешним пилотом.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Качество рекомендаций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Экспертная релевантность, NDCG, успешность выбора и трудоустройства не измерялись. Автоматические тесты подтверждают конкретные правила, а не полезность для всех пользователей.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Проверка источников владельцами</w:t>
            </w:r>
          </w:p>
        </w:tc>
        <w:tc>
          <w:tcPr>
            <w:tcW w:type="dxa" w:w="65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Не выполнена. Необходимо назначить редакторов и получить контрольные выгрузки.</w:t>
            </w:r>
          </w:p>
        </w:tc>
      </w:tr>
    </w:tbl>
    <w:p>
      <w:pPr>
        <w:spacing w:after="40"/>
      </w:pPr>
    </w:p>
    <w:p>
      <w:r>
        <w:t>Проверенные условия охватывают базовую маршрутизацию. Вступительные испытания, права на льготы, индивидуальные ограничения и актуальный набор не определяются этой версией. Полное соответствие WCAG 2.2 AA и промышленная готовность не заявляются.</w:t>
      </w:r>
    </w:p>
    <w:p>
      <w:pPr>
        <w:pStyle w:val="Heading1"/>
      </w:pPr>
      <w:r>
        <w:t>7 План следующей очереди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082"/>
        <w:gridCol w:w="4365"/>
      </w:tblGrid>
      <w:tr>
        <w:trPr>
          <w:cantSplit/>
          <w:tblHeader/>
        </w:trPr>
        <w:tc>
          <w:tcPr>
            <w:tcW w:type="dxa" w:w="1020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082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Работа</w:t>
            </w:r>
          </w:p>
        </w:tc>
        <w:tc>
          <w:tcPr>
            <w:tcW w:type="dxa" w:w="4365"/>
            <w:vAlign w:val="center"/>
            <w:shd w:fill="2339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20"/>
              </w:rPr>
              <w:t>Условие результата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1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Контрольная сверка РГСУ, филиалов в России и ДПО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Согласованный реестр с полными предложениями по формам, годам и базе приёма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2</w:t>
            </w:r>
          </w:p>
        </w:tc>
        <w:tc>
          <w:tcPr>
            <w:tcW w:type="dxa" w:w="408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Дополнение регионального корпуса и проверка прежних 1 027 строк</w:t>
            </w:r>
          </w:p>
        </w:tc>
        <w:tc>
          <w:tcPr>
            <w:tcW w:type="dxa" w:w="4365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Отдельный протокол на вуз; охват восьми округов; известный знаменатель каждой волны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3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Сквозное тестирование интерфейса и аудит доступности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Пройденные основные сценарии на телефоне, с клавиатурой и экранным диктором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4</w:t>
            </w:r>
          </w:p>
        </w:tc>
        <w:tc>
          <w:tcPr>
            <w:tcW w:type="dxa" w:w="4082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Пилот с представителями аудитории</w:t>
            </w:r>
          </w:p>
        </w:tc>
        <w:tc>
          <w:tcPr>
            <w:tcW w:type="dxa" w:w="4365"/>
            <w:vAlign w:val="center"/>
            <w:shd w:fill="F2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Заранее утверждённые показатели завершения маршрута и понимания объяснений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5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Защищённые заявки, администрирование и серверный ИИ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color w:val="1B2436"/>
                <w:sz w:val="20"/>
              </w:rPr>
              <w:t>Назначены ответственные, утверждён контур данных, пройдены испытания</w:t>
            </w:r>
          </w:p>
        </w:tc>
      </w:tr>
    </w:tbl>
    <w:p>
      <w:pPr>
        <w:spacing w:after="40"/>
      </w:pPr>
    </w:p>
    <w:p>
      <w:r>
        <w:t>Необходимые решения: назначить владельцев данных и консультаций, согласовать изменённую модель подбора и план проверки, определить место публикации для коллег. Ответственные, бюджет и календарные сроки не назначены предположительно.</w:t>
      </w:r>
    </w:p>
    <w:p>
      <w:pPr>
        <w:pStyle w:val="Heading1"/>
      </w:pPr>
      <w:r>
        <w:t>8 Материалы к передаче</w:t>
      </w:r>
    </w:p>
    <w:p>
      <w:pPr>
        <w:pStyle w:val="ListBullet"/>
      </w:pPr>
      <w:r>
        <w:t>Техническое задание версии 2.0 — отдельный редактируемый документ.</w:t>
      </w:r>
    </w:p>
    <w:p>
      <w:pPr>
        <w:pStyle w:val="ListBullet"/>
      </w:pPr>
      <w:r>
        <w:t>Настоящий отчёт — выполненные работы, показатели корпуса и ограничения.</w:t>
      </w:r>
    </w:p>
    <w:p>
      <w:pPr>
        <w:pStyle w:val="ListBullet"/>
      </w:pPr>
      <w:r>
        <w:t>Рабочий сайт и исходный код, JSON-каталог, правила и автоматические проверки.</w:t>
      </w:r>
    </w:p>
    <w:p>
      <w:pPr>
        <w:pStyle w:val="ListBullet"/>
      </w:pPr>
      <w:r>
        <w:t>Текст сообщения коллегам с приглашением к предметному тестированию без выдуманной даты следующей встречи.</w:t>
      </w:r>
    </w:p>
    <w:p>
      <w:r>
        <w:t>Версия сайта подготовлена для отдельного просмотра; прежняя публикация GitHub Pages не заменена. Доступ к размещённой версии указывается при передаче ссылки. Ссылка на отдельную публикацию не является свидетельством промышленного ввода.</w:t>
      </w:r>
    </w:p>
    <w:p>
      <w:pPr>
        <w:pStyle w:val="Heading1"/>
      </w:pPr>
      <w:r>
        <w:t>Источники и материалы</w:t>
      </w:r>
    </w:p>
    <w:p>
      <w:hyperlink r:id="rId11">
        <w:r>
          <w:rPr>
            <w:color w:val="294FB5"/>
          </w:rPr>
          <w:t>Исходное техническое задание от 28 августа 2026 года</w:t>
        </w:r>
      </w:hyperlink>
    </w:p>
    <w:p>
      <w:hyperlink r:id="rId12">
        <w:r>
          <w:rPr>
            <w:color w:val="294FB5"/>
          </w:rPr>
          <w:t>Опубликованный прототип версии 1.0</w:t>
        </w:r>
      </w:hyperlink>
    </w:p>
    <w:p>
      <w:hyperlink r:id="rId13">
        <w:r>
          <w:rPr>
            <w:color w:val="294FB5"/>
          </w:rPr>
          <w:t>Исходный код прототипа версии 1.0</w:t>
        </w:r>
      </w:hyperlink>
    </w:p>
    <w:p>
      <w:hyperlink r:id="rId14">
        <w:r>
          <w:rPr>
            <w:color w:val="294FB5"/>
          </w:rPr>
          <w:t>РГСУ — официальный источник</w:t>
        </w:r>
      </w:hyperlink>
    </w:p>
    <w:p>
      <w:hyperlink r:id="rId15">
        <w:r>
          <w:rPr>
            <w:color w:val="294FB5"/>
          </w:rPr>
          <w:t>ИТМО — официальный источник</w:t>
        </w:r>
      </w:hyperlink>
    </w:p>
    <w:p>
      <w:hyperlink r:id="rId16">
        <w:r>
          <w:rPr>
            <w:color w:val="294FB5"/>
          </w:rPr>
          <w:t>ТПУ — официальный источник</w:t>
        </w:r>
      </w:hyperlink>
    </w:p>
    <w:p>
      <w:hyperlink r:id="rId17">
        <w:r>
          <w:rPr>
            <w:color w:val="294FB5"/>
          </w:rPr>
          <w:t>РГУТИС — официальный источник</w:t>
        </w:r>
      </w:hyperlink>
    </w:p>
    <w:p>
      <w:hyperlink r:id="rId18">
        <w:r>
          <w:rPr>
            <w:color w:val="294FB5"/>
          </w:rPr>
          <w:t>УрФУ — официальный источник</w:t>
        </w:r>
      </w:hyperlink>
    </w:p>
    <w:p>
      <w:hyperlink r:id="rId19">
        <w:r>
          <w:rPr>
            <w:color w:val="294FB5"/>
          </w:rPr>
          <w:t>СКФУ — официальный источник</w:t>
        </w:r>
      </w:hyperlink>
    </w:p>
    <w:p>
      <w:hyperlink r:id="rId20">
        <w:r>
          <w:rPr>
            <w:color w:val="294FB5"/>
          </w:rPr>
          <w:t>КФУ · Набережночелнинский институт — официальный источник</w:t>
        </w:r>
      </w:hyperlink>
    </w:p>
    <w:p>
      <w:hyperlink r:id="rId21">
        <w:r>
          <w:rPr>
            <w:color w:val="294FB5"/>
          </w:rPr>
          <w:t>РГСУ — контакты приёмной комиссии</w:t>
        </w:r>
      </w:hyperlink>
    </w:p>
    <w:p>
      <w:hyperlink r:id="rId22">
        <w:r>
          <w:rPr>
            <w:color w:val="294FB5"/>
          </w:rPr>
          <w:t>Портал ДПО РГСУ — требуется отдельная сверка карточек</w:t>
        </w:r>
      </w:hyperlink>
    </w:p>
    <w:p>
      <w:hyperlink r:id="rId23">
        <w:r>
          <w:rPr>
            <w:color w:val="294FB5"/>
          </w:rPr>
          <w:t>W3C — WCAG 2.2, целевой ориентир доступности</w:t>
        </w:r>
      </w:hyperlink>
    </w:p>
    <w:p>
      <w:r>
        <w:t>Дата сверки веб-источников — 6 сентября 2026 года. Ссылки подтверждают опубликованные сведения в пределах указанного охвата. Наличие записи не подтверждает открытый набор или индивидуальный допуск.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Версия 2.0   •   6 сентября 2026 года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7389"/>
        <w:sz w:val="16"/>
      </w:rPr>
      <w:t>РГСУ   /   ТЕХНОПАРК   /   РЕСОЦИАЛИЗАЦИЯ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1B24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2339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23395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40" w:after="180"/>
    </w:pPr>
    <w:rPr>
      <w:rFonts w:asciiTheme="majorHAnsi" w:eastAsiaTheme="majorEastAsia" w:hAnsiTheme="majorHAnsi" w:cstheme="majorBidi" w:ascii="Arial" w:hAnsi="Arial"/>
      <w:b w:val="0"/>
      <w:i/>
      <w:iCs/>
      <w:color w:val="23395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76" w:lineRule="auto"/>
    </w:pPr>
    <w:rPr>
      <w:rFonts w:ascii="Arial" w:hAnsi="Arial"/>
      <w:color w:val="1B2436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1B243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1B243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oogle.com/document/d/1No2eyHQmSiUsTAL6MysrFEG3wz_-_KuVk-oFvg11NBM/edit" TargetMode="External"/><Relationship Id="rId12" Type="http://schemas.openxmlformats.org/officeDocument/2006/relationships/hyperlink" Target="https://step3dlab.github.io/resoc/" TargetMode="External"/><Relationship Id="rId13" Type="http://schemas.openxmlformats.org/officeDocument/2006/relationships/hyperlink" Target="https://github.com/step3dlab/resoc" TargetMode="External"/><Relationship Id="rId14" Type="http://schemas.openxmlformats.org/officeDocument/2006/relationships/hyperlink" Target="https://rgsu.net/education/training-programs/" TargetMode="External"/><Relationship Id="rId15" Type="http://schemas.openxmlformats.org/officeDocument/2006/relationships/hyperlink" Target="https://abit.itmo.ru/programs/bachelor" TargetMode="External"/><Relationship Id="rId16" Type="http://schemas.openxmlformats.org/officeDocument/2006/relationships/hyperlink" Target="https://abiturient.tpu.ru/programmy/?ed_lvl=1" TargetMode="External"/><Relationship Id="rId17" Type="http://schemas.openxmlformats.org/officeDocument/2006/relationships/hyperlink" Target="https://new.rguts.ru/abitur_2026/bachelor/list_programs.html" TargetMode="External"/><Relationship Id="rId18" Type="http://schemas.openxmlformats.org/officeDocument/2006/relationships/hyperlink" Target="https://priem-rtf.urfu.ru/program/programmnaya-inzheneriya/" TargetMode="External"/><Relationship Id="rId19" Type="http://schemas.openxmlformats.org/officeDocument/2006/relationships/hyperlink" Target="https://sveden.ncfu.ru/sveden/education/programs/razrabotka-i-soprovoghdenie-programmnogo-obespecheniya-09.03.04.html" TargetMode="External"/><Relationship Id="rId20" Type="http://schemas.openxmlformats.org/officeDocument/2006/relationships/hyperlink" Target="https://kpfu.ru/chelny/abitur/bachelor/napravleniya-podgotovki-specialnosti/090303-prikladnaya-informatika" TargetMode="External"/><Relationship Id="rId21" Type="http://schemas.openxmlformats.org/officeDocument/2006/relationships/hyperlink" Target="https://rgsu.net/abitur/" TargetMode="External"/><Relationship Id="rId22" Type="http://schemas.openxmlformats.org/officeDocument/2006/relationships/hyperlink" Target="https://idpo.rgsu.net/" TargetMode="External"/><Relationship Id="rId23" Type="http://schemas.openxmlformats.org/officeDocument/2006/relationships/hyperlink" Target="https://www.w3.org/TR/WCAG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развитии образовательного навигатора</dc:title>
  <dc:subject>Проект Ресоциализация участников СВО   Версия 2.0</dc:subject>
  <dc:creator>Проект Ресоциализация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