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развитие образовательного навигатора</w:t>
      </w:r>
    </w:p>
    <w:p>
      <w:pPr>
        <w:pStyle w:val="Subtitle"/>
      </w:pPr>
      <w:r>
        <w:t>Проект Ресоциализация участников СВО   Версия 2.0</w:t>
      </w:r>
    </w:p>
    <w:p>
      <w:r>
        <w:t>Рабочая редакция для согласования · 6 сентября 2026 года</w:t>
      </w:r>
    </w:p>
    <w:p>
      <w:r>
        <w:t>Предлагается развивать сервис как понятный маршрут от цели человека к выбору образовательной программы, сравнению условий и обращению в вуз. Редакция 2.0 фиксирует новую структуру интерфейса, правила работы с реальными программами и поэтапное расширение на вузы всей России.</w:t>
      </w:r>
    </w:p>
    <w:p>
      <w:r>
        <w:t>Документ задаёт требования к развитию. Фактически выполненные работы, состав текущего каталога и ограничения реализации описаны в отдельном отчёте 2.0. Утверждение технического задания, назначение ответственных и решение о промышленном вводе не подразумеваются фактом подготовки этой редакции.</w:t>
      </w:r>
    </w:p>
    <w:p>
      <w:pPr>
        <w:pStyle w:val="Heading1"/>
      </w:pPr>
      <w:r>
        <w:t>1 Основание и границы работ</w:t>
      </w:r>
    </w:p>
    <w:p>
      <w:r>
        <w:t>Основание: исходное ТЗ от 28 августа 2026 года, действующий веб-прототип и уточнения инициатора проекта от 6 сентября 2026 года. Приоритеты следующей версии: существенно улучшить дизайн, повысить понятность и интеллектуальность сервиса, найти реальные программы РГСУ и других вузов. Территориальный охват — Российская Федерация с поэтапным наполнением.</w:t>
      </w:r>
    </w:p>
    <w:p>
      <w:r>
        <w:t>Аудитория: участники проекта, ветераны, члены семей и сопровождающие, сотрудники РГСУ, консультанты и редакторы каталога. Пользовательский подбор не принимает решений о зачислении, льготах, медицинской пригодности или трудоустройстве.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5102"/>
        <w:gridCol w:w="2608"/>
      </w:tblGrid>
      <w:tr>
        <w:trPr>
          <w:cantSplit/>
          <w:tblHeader/>
        </w:trPr>
        <w:tc>
          <w:tcPr>
            <w:tcW w:type="dxa" w:w="1757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Контур</w:t>
            </w:r>
          </w:p>
        </w:tc>
        <w:tc>
          <w:tcPr>
            <w:tcW w:type="dxa" w:w="5102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2608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Первая очередь 2.0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Анонимный подбор по правилам, реестр из официальных источников, фильтры, карточки, сравнение, избранное, вопросы для консультации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Реализация описана в отчёте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Следующая очередь</w:t>
            </w:r>
          </w:p>
        </w:tc>
        <w:tc>
          <w:tcPr>
            <w:tcW w:type="dxa" w:w="510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Проверка карточек владельцами, предложения по форме и году набора, полное покрытие согласованного реестра РГСУ, дополнительные вузы</w:t>
            </w:r>
          </w:p>
        </w:tc>
        <w:tc>
          <w:tcPr>
            <w:tcW w:type="dxa" w:w="260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Требования этой редакции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Промышленный контур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Защищённые заявки, консультанты, администрирование, серверный ИИ, аналитика, интеграции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Ввод после отдельных проверок и регламентов</w:t>
            </w:r>
          </w:p>
        </w:tc>
      </w:tr>
    </w:tbl>
    <w:p>
      <w:pPr>
        <w:spacing w:after="40"/>
      </w:pPr>
    </w:p>
    <w:p>
      <w:pPr>
        <w:pStyle w:val="Heading1"/>
      </w:pPr>
      <w:r>
        <w:t>2 Результат для пользователя</w:t>
      </w:r>
    </w:p>
    <w:p>
      <w:pPr>
        <w:pStyle w:val="ListBullet"/>
      </w:pPr>
      <w:r>
        <w:t>За несколько последовательных шагов сформулировать цель и проверить собственный профиль без регистрации.</w:t>
      </w:r>
    </w:p>
    <w:p>
      <w:pPr>
        <w:pStyle w:val="ListBullet"/>
      </w:pPr>
      <w:r>
        <w:t>Получить варианты с объяснением совпадений и отдельным списком неподтверждённых условий.</w:t>
      </w:r>
    </w:p>
    <w:p>
      <w:pPr>
        <w:pStyle w:val="ListBullet"/>
      </w:pPr>
      <w:r>
        <w:t>Найти программу напрямую в каталоге и сравнить до трёх предложений по единым полям.</w:t>
      </w:r>
    </w:p>
    <w:p>
      <w:pPr>
        <w:pStyle w:val="ListBullet"/>
      </w:pPr>
      <w:r>
        <w:t>Открыть официальный источник и подготовить предметные вопросы для приёмной комиссии.</w:t>
      </w:r>
    </w:p>
    <w:p>
      <w:pPr>
        <w:pStyle w:val="ListBullet"/>
      </w:pPr>
      <w:r>
        <w:t>Вернуться к избранному на своём устройстве и настроить удобный размер текста, контраст и кнопки.</w:t>
      </w:r>
    </w:p>
    <w:p>
      <w:r>
        <w:t>Качество оценивается не количеством экранов или долей ответов ИИ, а корректностью ограничений, пониманием рекомендации и возможностью совершить реальный следующий шаг. Сокращение времени выбора и рост успешности обучения остаются гипотезами до пользовательского исследования.</w:t>
      </w:r>
    </w:p>
    <w:p>
      <w:pPr>
        <w:pStyle w:val="Heading1"/>
      </w:pPr>
      <w:r>
        <w:t>3 Требования к пользовательскому маршруту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762"/>
        <w:gridCol w:w="3458"/>
      </w:tblGrid>
      <w:tr>
        <w:trPr>
          <w:cantSplit/>
          <w:tblHeader/>
        </w:trPr>
        <w:tc>
          <w:tcPr>
            <w:tcW w:type="dxa" w:w="1247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4762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458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Критерий проверки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V2 UX 01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Четыре шага: цель, образование, условия, проверка. Свободное описание необязательно; образование необходимо для подбора.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Возврат сохраняет ответы текущей вкладки. Без образования система запрашивает уточнение.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V2 UX 02</w:t>
            </w:r>
          </w:p>
        </w:tc>
        <w:tc>
          <w:tcPr>
            <w:tcW w:type="dxa" w:w="476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Направления, извлечённые из описания, доступны для изменения пользователем.</w:t>
            </w:r>
          </w:p>
        </w:tc>
        <w:tc>
          <w:tcPr>
            <w:tcW w:type="dxa" w:w="345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Снятие предложенной темы исключает её влияние на подбор.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V2 UX 03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Каталог доступен независимо от анкеты и ИИ. Поиск учитывает название, организацию, код, регион и классификационные теги.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Комбинация поискового запроса и нескольких фильтров возвращает пересечение условий.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V2 UX 04</w:t>
            </w:r>
          </w:p>
        </w:tc>
        <w:tc>
          <w:tcPr>
            <w:tcW w:type="dxa" w:w="476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Карточка показывает сведения, источник и дату проверки, неизвестные поля, следующий шаг.</w:t>
            </w:r>
          </w:p>
        </w:tc>
        <w:tc>
          <w:tcPr>
            <w:tcW w:type="dxa" w:w="345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Нельзя открыть карточку с утверждением без источника или молча заменить пропуск нулём.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V2 UX 05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Сравнение до трёх программ, избранное и печать сравнения.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Четвёртая программа не добавляется без объяснения; неизвестные значения видны в таблице.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V2 UX 06</w:t>
            </w:r>
          </w:p>
        </w:tc>
        <w:tc>
          <w:tcPr>
            <w:tcW w:type="dxa" w:w="476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Помощь приводит к действующим контактам и списку вопросов.</w:t>
            </w:r>
          </w:p>
        </w:tc>
        <w:tc>
          <w:tcPr>
            <w:tcW w:type="dxa" w:w="345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Нет имитации успешно отправленной заявки, если передачи не было.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V2 UX 07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Пустые результаты, ошибка загрузки и отказ хранилища имеют понятные состояния.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Сбой не показывает случайные рекомендации; доступны повтор загрузки и официальный источник.</w:t>
            </w:r>
          </w:p>
        </w:tc>
      </w:tr>
    </w:tbl>
    <w:p>
      <w:pPr>
        <w:spacing w:after="40"/>
      </w:pPr>
    </w:p>
    <w:p>
      <w:pPr>
        <w:pStyle w:val="Heading1"/>
      </w:pPr>
      <w:r>
        <w:t>4 Единая модель каталога</w:t>
      </w:r>
    </w:p>
    <w:p>
      <w:r>
        <w:t>Единица учёта должна быть определена до подсчёта полноты. Направление подготовки, образовательная программа, профиль, филиал и предложение на конкретный год и форму обучения — разные сущности. Общий счётчик первой очереди учитывает записи; его нельзя трактовать как число всех действующих предложений России.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rPr>
          <w:cantSplit/>
          <w:tblHeader/>
        </w:trPr>
        <w:tc>
          <w:tcPr>
            <w:tcW w:type="dxa" w:w="2268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7200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Обязательные данные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Организация и подразделение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Устойчивый ID, полное и короткое название, официальный домен, головной вуз или филиал, город, регион, федеральный округ.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Программа или профиль</w:t>
            </w:r>
          </w:p>
        </w:tc>
        <w:tc>
          <w:tcPr>
            <w:tcW w:type="dxa" w:w="720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ID, тип записи, название, коды направления, уровень, профиль, организация, классификация и версия классификатора.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Предложение обучения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ID программы, год набора, форма, срок, обязательные посещения, база приёма, вступительные испытания, стоимость и период, бюджетные места, специальные требования.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Доказательство поля</w:t>
            </w:r>
          </w:p>
        </w:tc>
        <w:tc>
          <w:tcPr>
            <w:tcW w:type="dxa" w:w="720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Значение, URL источника, дата публикации при наличии, дата извлечения, дата содержательной проверки, проверяющий, область действия значения.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Статус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Найдена в источнике; проверена редактором; подтверждена владельцем; требует актуализации; архив. Статус приёма хранится отдельно.</w:t>
            </w:r>
          </w:p>
        </w:tc>
      </w:tr>
    </w:tbl>
    <w:p>
      <w:pPr>
        <w:spacing w:after="40"/>
      </w:pPr>
    </w:p>
    <w:p>
      <w:pPr>
        <w:pStyle w:val="Heading2"/>
      </w:pPr>
      <w:r>
        <w:t>4.1 Правила качества</w:t>
      </w:r>
    </w:p>
    <w:p>
      <w:pPr>
        <w:pStyle w:val="ListBullet"/>
      </w:pPr>
      <w:r>
        <w:t>Цена «от» и цена «до» сохраняют исходный смысл; неизвестная цена не равна бесплатному обучению. Годовая стоимость не подменяет стоимость курса.</w:t>
      </w:r>
    </w:p>
    <w:p>
      <w:pPr>
        <w:pStyle w:val="ListBullet"/>
      </w:pPr>
      <w:r>
        <w:t>Количество мест по направлению нельзя переносить на каждую форму, профиль или квоту. Неизвестное число мест не равно нулю.</w:t>
      </w:r>
    </w:p>
    <w:p>
      <w:pPr>
        <w:pStyle w:val="ListBullet"/>
      </w:pPr>
      <w:r>
        <w:t>Заочная форма с дистанционными технологиями не означает отсутствие поездок. Полностью дистанционное обучение отмечается только при прямом подтверждении.</w:t>
      </w:r>
    </w:p>
    <w:p>
      <w:pPr>
        <w:pStyle w:val="ListBullet"/>
      </w:pPr>
      <w:r>
        <w:t>Срок «от четырёх лет» — нижняя граница. Он не доказывает завершение программы в пределах четырёх лет.</w:t>
      </w:r>
    </w:p>
    <w:p>
      <w:pPr>
        <w:pStyle w:val="ListBullet"/>
      </w:pPr>
      <w:r>
        <w:t>Архивный учебный план подтверждает существование программы в соответствующем году, но не текущий приём.</w:t>
      </w:r>
    </w:p>
    <w:p>
      <w:pPr>
        <w:pStyle w:val="ListBullet"/>
      </w:pPr>
      <w:r>
        <w:t>Официальный домен сам по себе недостаточен: шаблонный текст, заглушки и противоречия исключают запись из подтверждённой выдачи.</w:t>
      </w:r>
    </w:p>
    <w:p>
      <w:pPr>
        <w:pStyle w:val="ListBullet"/>
      </w:pPr>
      <w:r>
        <w:t>Обновление проходит валидацию и содержательную проверку. Ошибка одной строки не должна скрываться внутри успешного импорта.</w:t>
      </w:r>
    </w:p>
    <w:p>
      <w:pPr>
        <w:pStyle w:val="ListBullet"/>
      </w:pPr>
      <w:r>
        <w:t>При изменении источника сохраняются предыдущая версия, основания изменения и перечень затронутых предложений.</w:t>
      </w:r>
    </w:p>
    <w:p>
      <w:pPr>
        <w:pStyle w:val="Heading2"/>
      </w:pPr>
      <w:r>
        <w:t>4.2 Охват России и полнота</w:t>
      </w:r>
    </w:p>
    <w:p>
      <w:r>
        <w:t>Для каждой волны формируется перечень организаций и уровней. Полнота рассчитывается как число проверенных уникальных предложений, делённое на число предложений в согласованной контрольной выгрузке за тот же год, кампус и уровень. Если знаменатель неизвестен, публикуется только количество найденных записей и перечень пробелов.</w:t>
      </w:r>
    </w:p>
    <w:p>
      <w:r>
        <w:t>Приоритет наполнения: головной каталог РГСУ; филиалы РГСУ в России и ДПО; проверка ранее собранных 1 027 строк; расширение по всем федеральным округам. Очерёдность вузов определяется запросами пользователей и готовностью данных, а не только известностью организации. Зарубежные филиалы учитываются отдельно от российского охвата.</w:t>
      </w:r>
    </w:p>
    <w:p>
      <w:r>
        <w:t>В целевом контуре источник проверяется не реже одного раза в 30 дней; данные приёмной кампании — не реже одного раза в неделю в период приёма. Частота является требованием к будущему процессу, автоматическое обновление в первой очереди не заявляется.</w:t>
      </w:r>
    </w:p>
    <w:p>
      <w:pPr>
        <w:pStyle w:val="Heading1"/>
      </w:pPr>
      <w:r>
        <w:t>5 Интеллектуальный подбор</w:t>
      </w:r>
    </w:p>
    <w:p>
      <w:pPr>
        <w:pStyle w:val="Heading2"/>
      </w:pPr>
      <w:r>
        <w:t>5.1 Реализуемая логика первой очереди</w:t>
      </w:r>
    </w:p>
    <w:p>
      <w:r>
        <w:t>Интеллектуальность первой очереди обеспечивается воспроизводимыми правилами, пояснениями и управляемой неопределённостью. Система выделяет темы по словам, предлагает пользователю подтвердить их, затем применяет базовые ограничения и ранжирует кандидатов. Генеративная языковая модель в этой сборке не подключена.</w:t>
      </w:r>
    </w:p>
    <w:p>
      <w:pPr>
        <w:pStyle w:val="ListBullet"/>
      </w:pPr>
      <w:r>
        <w:t>Образование задаёт допустимые базовые уровни. При девяти классах база поступления в конкретную программу СПО требует отдельного подтверждения. Ординатура не рекомендуется на основании одного общего признака высшего образования.</w:t>
      </w:r>
    </w:p>
    <w:p>
      <w:pPr>
        <w:pStyle w:val="ListBullet"/>
      </w:pPr>
      <w:r>
        <w:t>Выбранные округ, форма и точный предельный срок являются ограничениями. Несоответствие исключает запись; неизвестное значение переводит её в отдельную группу уточнения.</w:t>
      </w:r>
    </w:p>
    <w:p>
      <w:pPr>
        <w:pStyle w:val="ListBullet"/>
      </w:pPr>
      <w:r>
        <w:t>При требовании бюджета и конкретной формы общее количество бюджетных мест не подтверждает бюджет для этой формы.</w:t>
      </w:r>
    </w:p>
    <w:p>
      <w:pPr>
        <w:pStyle w:val="ListBullet"/>
      </w:pPr>
      <w:r>
        <w:t>Внутренняя оценка: 12 за совпадение выбранной темы; до 20 за совпадения токенов описания по 4 за уникальное совпадение; 6 за применимый переход на следующую ступень или ДПО при соответствующей цели. Это технический порядок, не вероятность успеха.</w:t>
      </w:r>
    </w:p>
    <w:p>
      <w:pPr>
        <w:pStyle w:val="ListBullet"/>
      </w:pPr>
      <w:r>
        <w:t>При точном равенстве оценки сначала показывается РГСУ; принадлежность вузу не увеличивает оценку. При разном соответствии приоритет организации не применяется.</w:t>
      </w:r>
    </w:p>
    <w:p>
      <w:pPr>
        <w:pStyle w:val="ListBullet"/>
      </w:pPr>
      <w:r>
        <w:t>Показывается до шести предварительных вариантов и до трёх записей для уточнения. Для каждого варианта доступны основания, источник и дальнейшее действие.</w:t>
      </w:r>
    </w:p>
    <w:p>
      <w:r>
        <w:t>Правило прежней редакции о 13 критериях и пороге заполнения 8 из 13 не реализуется в первой очереди 2.0. Оно заменено описанной здесь моделью без пользовательского процентного индекса. Это явное проектное изменение, требующее согласования; другие требования доверенности и минимизации данных сохраняются.</w:t>
      </w:r>
    </w:p>
    <w:p>
      <w:pPr>
        <w:pStyle w:val="Heading2"/>
      </w:pPr>
      <w:r>
        <w:t>5.2 Целевая архитектура ИИ</w:t>
      </w:r>
    </w:p>
    <w:p>
      <w:r>
        <w:t>Будущий серверный контур: свободный запрос → извлечение структурированного профиля → подтверждение человеком → проверка допуска на уровне конкретного предложения → ранжирование → объяснение только по переданным фактам → уточнение или консультация. Генеративный компонент не получает полномочий изменять условия допуска и публиковать новые факты каталога.</w:t>
      </w:r>
    </w:p>
    <w:p>
      <w:r>
        <w:t>Для каждого извлечённого признака хранятся основание, неопределённость и версия преобразования. Контекст ответа содержит только прошедшие проверку записи, ссылки и разрешённые поля. Ответ проходит проверку структуры и ссылок. При отсутствии доказательства модель должна сообщить о нехватке данных; каталог продолжает работать при её отказе.</w:t>
      </w:r>
    </w:p>
    <w:p>
      <w:r>
        <w:t>Не допускаются вывод диагнозов, инвалидности, психологического состояния, политических взглядов и других чувствительных характеристик. Пользовательские ограничения интерфейса не используются для рейтинга программ. Выбор ИИ-провайдера, места обработки, стоимости запросов и режима журналирования выполняется до подключения внешней модели.</w:t>
      </w:r>
    </w:p>
    <w:p>
      <w:pPr>
        <w:pStyle w:val="Heading1"/>
      </w:pPr>
      <w:r>
        <w:t>6 Требования к дизайну и доступности</w:t>
      </w:r>
    </w:p>
    <w:p>
      <w:r>
        <w:t>Визуальное направление: спокойный профессиональный сервис, который сохраняет достоинство пользователя и помогает действовать без лишнего напряжения. Главный экран открывает рабочий подбор. На нём нет обязательной регистрации и длинного рекламного вступления.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540"/>
      </w:tblGrid>
      <w:tr>
        <w:trPr>
          <w:cantSplit/>
          <w:tblHeader/>
        </w:trPr>
        <w:tc>
          <w:tcPr>
            <w:tcW w:type="dxa" w:w="1928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Область</w:t>
            </w:r>
          </w:p>
        </w:tc>
        <w:tc>
          <w:tcPr>
            <w:tcW w:type="dxa" w:w="7540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Структура</w:t>
            </w:r>
          </w:p>
        </w:tc>
        <w:tc>
          <w:tcPr>
            <w:tcW w:type="dxa" w:w="75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Шесть разделов: подбор, каталог, избранное, сравнение, источники, помощь. Постоянная навигация на широком экране; компактная доступная навигация на телефоне.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Визуальная система</w:t>
            </w:r>
          </w:p>
        </w:tc>
        <w:tc>
          <w:tcPr>
            <w:tcW w:type="dxa" w:w="754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Тёмно-синий цвет текста и шапки навигатора, белые рабочие поверхности, синий акцент действий. Единая типографика, сетка, радиусы и интервалы.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Первичный выбор</w:t>
            </w:r>
          </w:p>
        </w:tc>
        <w:tc>
          <w:tcPr>
            <w:tcW w:type="dxa" w:w="75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Одна основная кнопка на шаг. Вопрос, пояснение, поле и ошибка расположены рядом. Примеры можно редактировать.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Карточки</w:t>
            </w:r>
          </w:p>
        </w:tc>
        <w:tc>
          <w:tcPr>
            <w:tcW w:type="dxa" w:w="754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Сначала название и профиль, затем организация, уровень и условия. Следующие действия — подробности, сравнение, сохранение. Нет выдуманных рейтингов и процентов.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Адаптивность</w:t>
            </w:r>
          </w:p>
        </w:tc>
        <w:tc>
          <w:tcPr>
            <w:tcW w:type="dxa" w:w="75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Работа от 320 CSS px, увеличение текста до 200 процентов, отсутствие перекрытий. Для сравнительной таблицы допустим собственный прокручиваемый контейнер.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Доступность</w:t>
            </w:r>
          </w:p>
        </w:tc>
        <w:tc>
          <w:tcPr>
            <w:tcW w:type="dxa" w:w="754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Клавиатура, видимый фокус, подписанные поля, смысл статуса текстом, управление диалогом с возвратом фокуса, отсутствие обязательного аудио и таймеров.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Настройки</w:t>
            </w:r>
          </w:p>
        </w:tc>
        <w:tc>
          <w:tcPr>
            <w:tcW w:type="dxa" w:w="75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Крупный текст, высокий контраст, большие кнопки, подчёркивания, сокращение дополнительных блоков, отключение движения — независимые настройки.</w:t>
            </w:r>
          </w:p>
        </w:tc>
      </w:tr>
    </w:tbl>
    <w:p>
      <w:pPr>
        <w:spacing w:after="40"/>
      </w:pPr>
    </w:p>
    <w:p>
      <w:r>
        <w:t>Целевой уровень — WCAG 2.2 AA. Соответствие подтверждается отдельным аудитом; наличие настроек или прохождение автоматических проверок не заменяет ручную проверку с экранным диктором и представителями аудитории.</w:t>
      </w:r>
    </w:p>
    <w:p>
      <w:pPr>
        <w:pStyle w:val="Heading1"/>
      </w:pPr>
      <w:r>
        <w:t>7 Данные пользователя и эксплуатация</w:t>
      </w:r>
    </w:p>
    <w:p>
      <w:r>
        <w:t>В первой очереди анкета существует в памяти вкладки. На устройстве сохраняются только ID избранных и сравниваемых программ и настройки доступности. Контактная форма навигатора отсутствует; обращение выполняется пользователем через официальный контакт вуза. Тексты анкеты не передаются в аналитику или внешнюю модель.</w:t>
      </w:r>
    </w:p>
    <w:p>
      <w:r>
        <w:t>До создания защищённых заявок заказчик определяет оператора, цели и основания обработки, поля, сроки хранения, места обработки, получателей, права доступа и порядок удаления. Это организационные условия дальнейшего ввода, а не заявление о завершённой правовой экспертизе.</w:t>
      </w:r>
    </w:p>
    <w:p>
      <w:pPr>
        <w:pStyle w:val="ListBullet"/>
      </w:pPr>
      <w:r>
        <w:t>Секреты размещаются только на сервере; публичная клиентская сборка не содержит ключей.</w:t>
      </w:r>
    </w:p>
    <w:p>
      <w:pPr>
        <w:pStyle w:val="ListBullet"/>
      </w:pPr>
      <w:r>
        <w:t>Редактор, проверяющий и администратор имеют отдельные роли. Критические сведения и правила публикуются после контрольной проверки.</w:t>
      </w:r>
    </w:p>
    <w:p>
      <w:pPr>
        <w:pStyle w:val="ListBullet"/>
      </w:pPr>
      <w:r>
        <w:t>Заявка получает реальный номер, ответственного, статус и срок ответа только после подтверждённой записи в защищённом контуре.</w:t>
      </w:r>
    </w:p>
    <w:p>
      <w:pPr>
        <w:pStyle w:val="ListBullet"/>
      </w:pPr>
      <w:r>
        <w:t>Версионируются исходный код, каталог, классификатор и правила. Выпуск можно воспроизвести и откатить.</w:t>
      </w:r>
    </w:p>
    <w:p>
      <w:pPr>
        <w:pStyle w:val="ListBullet"/>
      </w:pPr>
      <w:r>
        <w:t>До промышленного ввода проверяются восстановление из резервной копии, разрешения, журналы и процедуры инцидентов.</w:t>
      </w:r>
    </w:p>
    <w:p>
      <w:pPr>
        <w:pStyle w:val="Heading1"/>
      </w:pPr>
      <w:r>
        <w:t>8 Приёмочные испытания</w:t>
      </w:r>
    </w:p>
    <w:p>
      <w:r>
        <w:t>Каждый протокол содержит версию сайта, каталога и правил, входные данные, ожидаемый и фактический результат, доказательство и исполнителя. Неустранённое нарушение ограничения, раскрытие данных или невозможность завершить основной маршрут блокирует соответствующий этап.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6350"/>
        <w:gridCol w:w="2098"/>
      </w:tblGrid>
      <w:tr>
        <w:trPr>
          <w:cantSplit/>
          <w:tblHeader/>
        </w:trPr>
        <w:tc>
          <w:tcPr>
            <w:tcW w:type="dxa" w:w="1020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6350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098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Порог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AT 01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Нет образования; попытка подобрать магистратуру после школы; аспирантуру после бакалавриата; ординатуру без проверки специальности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Ни одной категоричной рекомендации с неподтверждённой базой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AT 02</w:t>
            </w:r>
          </w:p>
        </w:tc>
        <w:tc>
          <w:tcPr>
            <w:tcW w:type="dxa" w:w="635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Несовпадение округа или формы; короткий срок; неизвестный бюджет; ДОТ вместо полного онлайна</w:t>
            </w:r>
          </w:p>
        </w:tc>
        <w:tc>
          <w:tcPr>
            <w:tcW w:type="dxa" w:w="209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Ни одного обхода обязательного ограничения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AT 03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РГСУ против более подходящего внешнего варианта; точное равенство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Приоритет РГСУ только при равной оценке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AT 04</w:t>
            </w:r>
          </w:p>
        </w:tc>
        <w:tc>
          <w:tcPr>
            <w:tcW w:type="dxa" w:w="635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Поиск, комбинации фильтров, пустая выдача, сброс и пагинация</w:t>
            </w:r>
          </w:p>
        </w:tc>
        <w:tc>
          <w:tcPr>
            <w:tcW w:type="dxa" w:w="209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Результат совпадает с контрольной выборкой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AT 05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Карточка, источник, избранное, три программы сравнения, попытка добавить четвёртую, печать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Основные действия выполняются; неизвестные поля не исчезают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AT 06</w:t>
            </w:r>
          </w:p>
        </w:tc>
        <w:tc>
          <w:tcPr>
            <w:tcW w:type="dxa" w:w="635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Полнота каждой принятой очереди</w:t>
            </w:r>
          </w:p>
        </w:tc>
        <w:tc>
          <w:tcPr>
            <w:tcW w:type="dxa" w:w="209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100 процентов от согласованной контрольной выгрузки; все критичные поля имеют статус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AT 07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Клавиатура, фокус, диктор, увеличение, телефон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Нет блокирующих дефектов; аудит WCAG в согласованном объёме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AT 08</w:t>
            </w:r>
          </w:p>
        </w:tc>
        <w:tc>
          <w:tcPr>
            <w:tcW w:type="dxa" w:w="635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Ошибки сети и хранилища; отсутствие секретов и передачи анкеты</w:t>
            </w:r>
          </w:p>
        </w:tc>
        <w:tc>
          <w:tcPr>
            <w:tcW w:type="dxa" w:w="209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Понятное восстановление; нет ложного успеха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AT 09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Отклик фильтра на типовом устройстве в каталоге до 5 000 записей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Целевой p95 не более 300 мс; измеряется отдельно от загрузки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AT 10</w:t>
            </w:r>
          </w:p>
        </w:tc>
        <w:tc>
          <w:tcPr>
            <w:tcW w:type="dxa" w:w="635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Пилот с представителями аудитории</w:t>
            </w:r>
          </w:p>
        </w:tc>
        <w:tc>
          <w:tcPr>
            <w:tcW w:type="dxa" w:w="209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Порог завершения маршрута и понимания рекомендации утверждён до пилота</w:t>
            </w:r>
          </w:p>
        </w:tc>
      </w:tr>
    </w:tbl>
    <w:p>
      <w:pPr>
        <w:spacing w:after="40"/>
      </w:pPr>
    </w:p>
    <w:p>
      <w:pPr>
        <w:pStyle w:val="Heading1"/>
      </w:pPr>
      <w:r>
        <w:t>9 Очереди развития 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5046"/>
        <w:gridCol w:w="3288"/>
      </w:tblGrid>
      <w:tr>
        <w:trPr>
          <w:cantSplit/>
          <w:tblHeader/>
        </w:trPr>
        <w:tc>
          <w:tcPr>
            <w:tcW w:type="dxa" w:w="1134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Очередь</w:t>
            </w:r>
          </w:p>
        </w:tc>
        <w:tc>
          <w:tcPr>
            <w:tcW w:type="dxa" w:w="5046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3288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Условие завершения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А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Дизайн и рабочий подбор на проверяемом корпусе первой очереди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Сборка, реестр источников, проверки логики и отчёт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Б</w:t>
            </w:r>
          </w:p>
        </w:tc>
        <w:tc>
          <w:tcPr>
            <w:tcW w:type="dxa" w:w="5046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Полный согласованный охват РГСУ: головной вуз, российские филиалы, ДПО</w:t>
            </w:r>
          </w:p>
        </w:tc>
        <w:tc>
          <w:tcPr>
            <w:tcW w:type="dxa" w:w="328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Контрольная выгрузка владельца; база приёма, формы и годы разделены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В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Расширение России по восьми федеральным округам и проверка прежнего массива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Каждая волна имеет список вузов, знаменатель, ответственного и протокол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Г</w:t>
            </w:r>
          </w:p>
        </w:tc>
        <w:tc>
          <w:tcPr>
            <w:tcW w:type="dxa" w:w="5046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Защищённые консультации и серверный ИИ</w:t>
            </w:r>
          </w:p>
        </w:tc>
        <w:tc>
          <w:tcPr>
            <w:tcW w:type="dxa" w:w="328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Утверждены процесс, данные и доступ; проведены испытания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Д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Пилот и масштабирование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Измерены пользовательские результаты; выполнены согласованные критерии</w:t>
            </w:r>
          </w:p>
        </w:tc>
      </w:tr>
    </w:tbl>
    <w:p>
      <w:pPr>
        <w:spacing w:after="40"/>
      </w:pPr>
    </w:p>
    <w:p>
      <w:r>
        <w:t>Календарные даты, бюджет и состав команды в исходных материалах не определены. Они утверждаются после назначения владельцев и оценки трудоёмкости. Дата приглашения на «Техносреду» 2 сентября не переносится в новый план и не используется как доказательство проведения встречи.</w:t>
      </w:r>
    </w:p>
    <w:p>
      <w:pPr>
        <w:pStyle w:val="ListBullet"/>
      </w:pPr>
      <w:r>
        <w:t>Назначить владельца проекта, редактора каталога и представителей приёмной комиссии и ДПО РГСУ.</w:t>
      </w:r>
    </w:p>
    <w:p>
      <w:pPr>
        <w:pStyle w:val="ListBullet"/>
      </w:pPr>
      <w:r>
        <w:t>Подтвердить состав российских филиалов и уровней первой полной сверки; предоставить контрольную выгрузку.</w:t>
      </w:r>
    </w:p>
    <w:p>
      <w:pPr>
        <w:pStyle w:val="ListBullet"/>
      </w:pPr>
      <w:r>
        <w:t>Согласовать замену прежнего процентного индекса моделью объяснимого предварительного подбора.</w:t>
      </w:r>
    </w:p>
    <w:p>
      <w:pPr>
        <w:pStyle w:val="ListBullet"/>
      </w:pPr>
      <w:r>
        <w:t>Утвердить аудит доступности и пилот; определить целевые пользовательские показатели.</w:t>
      </w:r>
    </w:p>
    <w:p>
      <w:pPr>
        <w:pStyle w:val="ListBullet"/>
      </w:pPr>
      <w:r>
        <w:t>Определить место публикации и круг доступа к новой версии; отдельно решить вопрос замены прежнего GitHub Pages.</w:t>
      </w:r>
    </w:p>
    <w:p>
      <w:pPr>
        <w:pStyle w:val="Heading1"/>
      </w:pPr>
      <w:r>
        <w:t>Приложение А Связь с предыдущей редакцией</w:t>
      </w:r>
    </w:p>
    <w:p>
      <w:r>
        <w:t>Группы требований исходного ТЗ сохраняются как ориентир развития. Таблица показывает статус в первой очереди 2.0 и не означает снятие требований промышленного контура.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rPr>
          <w:cantSplit/>
          <w:tblHeader/>
        </w:trPr>
        <w:tc>
          <w:tcPr>
            <w:tcW w:type="dxa" w:w="2268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Группа исходного ТЗ</w:t>
            </w:r>
          </w:p>
        </w:tc>
        <w:tc>
          <w:tcPr>
            <w:tcW w:type="dxa" w:w="7200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Решение версии 2.0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FR 001–008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Анонимный маршрут, подтверждение профиля и работа каталога реализованы. Передача контекста консультанту и серверная история остаются следующей очередью.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DATA 001–010</w:t>
            </w:r>
          </w:p>
        </w:tc>
        <w:tc>
          <w:tcPr>
            <w:tcW w:type="dxa" w:w="720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Появился единый реестр с источником и датой. Полная верификация владельцами, предложения по формам, журнал изменений и контролируемый импорт — дальнейшие работы.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AI 001–012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Правила, подтверждение тем, неизвестные условия и объяснения реализованы в ограниченном контуре. AI 005 о пороге 8 из 13 явно заменяется разделом 5. Серверная модель и экспертная оценка не завершены.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OPS 001–008</w:t>
            </w:r>
          </w:p>
        </w:tc>
        <w:tc>
          <w:tcPr>
            <w:tcW w:type="dxa" w:w="720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Вместо имитации заявки используются официальные контакты и подготовка вопросов. Реальный документооборот, роли и интеграции требуют защищённого контура.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SEC 001–008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Анкета не отправляется и не сохраняется постоянно. Требования к заявкам, ролям, журналам и восстановлению сохраняются до промышленного ввода.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A11Y 001–010</w:t>
            </w:r>
          </w:p>
        </w:tc>
        <w:tc>
          <w:tcPr>
            <w:tcW w:type="dxa" w:w="720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Поддержаны семантика и настройки. Формальная оценка WCAG и испытания с пользователями не подменяются наличием этих функций.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NFR 001–008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Сохранена возможность независимого каталога и версионирования. Нагрузочные, эксплуатационные и восстановительные показатели проверяются до промышленного запуска.</w:t>
            </w:r>
          </w:p>
        </w:tc>
      </w:tr>
    </w:tbl>
    <w:p>
      <w:pPr>
        <w:spacing w:after="40"/>
      </w:pPr>
    </w:p>
    <w:p>
      <w:pPr>
        <w:pStyle w:val="Heading1"/>
      </w:pPr>
      <w:r>
        <w:t>Источники и материалы</w:t>
      </w:r>
    </w:p>
    <w:p>
      <w:hyperlink r:id="rId11">
        <w:r>
          <w:rPr>
            <w:color w:val="294FB5"/>
          </w:rPr>
          <w:t>Исходное техническое задание от 28 августа 2026 года</w:t>
        </w:r>
      </w:hyperlink>
    </w:p>
    <w:p>
      <w:hyperlink r:id="rId12">
        <w:r>
          <w:rPr>
            <w:color w:val="294FB5"/>
          </w:rPr>
          <w:t>Опубликованный прототип версии 1.0</w:t>
        </w:r>
      </w:hyperlink>
    </w:p>
    <w:p>
      <w:hyperlink r:id="rId13">
        <w:r>
          <w:rPr>
            <w:color w:val="294FB5"/>
          </w:rPr>
          <w:t>Исходный код прототипа версии 1.0</w:t>
        </w:r>
      </w:hyperlink>
    </w:p>
    <w:p>
      <w:hyperlink r:id="rId14">
        <w:r>
          <w:rPr>
            <w:color w:val="294FB5"/>
          </w:rPr>
          <w:t>РГСУ — официальный источник</w:t>
        </w:r>
      </w:hyperlink>
    </w:p>
    <w:p>
      <w:hyperlink r:id="rId15">
        <w:r>
          <w:rPr>
            <w:color w:val="294FB5"/>
          </w:rPr>
          <w:t>ИТМО — официальный источник</w:t>
        </w:r>
      </w:hyperlink>
    </w:p>
    <w:p>
      <w:hyperlink r:id="rId16">
        <w:r>
          <w:rPr>
            <w:color w:val="294FB5"/>
          </w:rPr>
          <w:t>ТПУ — официальный источник</w:t>
        </w:r>
      </w:hyperlink>
    </w:p>
    <w:p>
      <w:hyperlink r:id="rId17">
        <w:r>
          <w:rPr>
            <w:color w:val="294FB5"/>
          </w:rPr>
          <w:t>РГУТИС — официальный источник</w:t>
        </w:r>
      </w:hyperlink>
    </w:p>
    <w:p>
      <w:hyperlink r:id="rId18">
        <w:r>
          <w:rPr>
            <w:color w:val="294FB5"/>
          </w:rPr>
          <w:t>УрФУ — официальный источник</w:t>
        </w:r>
      </w:hyperlink>
    </w:p>
    <w:p>
      <w:hyperlink r:id="rId19">
        <w:r>
          <w:rPr>
            <w:color w:val="294FB5"/>
          </w:rPr>
          <w:t>СКФУ — официальный источник</w:t>
        </w:r>
      </w:hyperlink>
    </w:p>
    <w:p>
      <w:hyperlink r:id="rId20">
        <w:r>
          <w:rPr>
            <w:color w:val="294FB5"/>
          </w:rPr>
          <w:t>КФУ · Набережночелнинский институт — официальный источник</w:t>
        </w:r>
      </w:hyperlink>
    </w:p>
    <w:p>
      <w:hyperlink r:id="rId21">
        <w:r>
          <w:rPr>
            <w:color w:val="294FB5"/>
          </w:rPr>
          <w:t>РГСУ — контакты приёмной комиссии</w:t>
        </w:r>
      </w:hyperlink>
    </w:p>
    <w:p>
      <w:hyperlink r:id="rId22">
        <w:r>
          <w:rPr>
            <w:color w:val="294FB5"/>
          </w:rPr>
          <w:t>Портал ДПО РГСУ — требуется отдельная сверка карточек</w:t>
        </w:r>
      </w:hyperlink>
    </w:p>
    <w:p>
      <w:hyperlink r:id="rId23">
        <w:r>
          <w:rPr>
            <w:color w:val="294FB5"/>
          </w:rPr>
          <w:t>W3C — WCAG 2.2, целевой ориентир доступности</w:t>
        </w:r>
      </w:hyperlink>
    </w:p>
    <w:p>
      <w:r>
        <w:t>Дата сверки веб-источников — 6 сентября 2026 года. Ссылки подтверждают опубликованные сведения в пределах указанного охвата. Наличие записи не подтверждает открытый набор или индивидуальный допуск.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Версия 2.0   •   6 сентября 2026 года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389"/>
        <w:sz w:val="16"/>
      </w:rPr>
      <w:t>РГСУ   /   ТЕХНОПАРК   /   РЕСОЦИАЛИЗАЦИЯ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1B24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2339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2339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40" w:after="180"/>
    </w:pPr>
    <w:rPr>
      <w:rFonts w:asciiTheme="majorHAnsi" w:eastAsiaTheme="majorEastAsia" w:hAnsiTheme="majorHAnsi" w:cstheme="majorBidi" w:ascii="Arial" w:hAnsi="Arial"/>
      <w:b w:val="0"/>
      <w:i/>
      <w:iCs/>
      <w:color w:val="23395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6" w:lineRule="auto"/>
    </w:pPr>
    <w:rPr>
      <w:rFonts w:ascii="Arial" w:hAnsi="Arial"/>
      <w:color w:val="1B243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1B243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1B243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oogle.com/document/d/1No2eyHQmSiUsTAL6MysrFEG3wz_-_KuVk-oFvg11NBM/edit" TargetMode="External"/><Relationship Id="rId12" Type="http://schemas.openxmlformats.org/officeDocument/2006/relationships/hyperlink" Target="https://step3dlab.github.io/resoc/" TargetMode="External"/><Relationship Id="rId13" Type="http://schemas.openxmlformats.org/officeDocument/2006/relationships/hyperlink" Target="https://github.com/step3dlab/resoc" TargetMode="External"/><Relationship Id="rId14" Type="http://schemas.openxmlformats.org/officeDocument/2006/relationships/hyperlink" Target="https://rgsu.net/education/training-programs/" TargetMode="External"/><Relationship Id="rId15" Type="http://schemas.openxmlformats.org/officeDocument/2006/relationships/hyperlink" Target="https://abit.itmo.ru/programs/bachelor" TargetMode="External"/><Relationship Id="rId16" Type="http://schemas.openxmlformats.org/officeDocument/2006/relationships/hyperlink" Target="https://abiturient.tpu.ru/programmy/?ed_lvl=1" TargetMode="External"/><Relationship Id="rId17" Type="http://schemas.openxmlformats.org/officeDocument/2006/relationships/hyperlink" Target="https://new.rguts.ru/abitur_2026/bachelor/list_programs.html" TargetMode="External"/><Relationship Id="rId18" Type="http://schemas.openxmlformats.org/officeDocument/2006/relationships/hyperlink" Target="https://priem-rtf.urfu.ru/program/programmnaya-inzheneriya/" TargetMode="External"/><Relationship Id="rId19" Type="http://schemas.openxmlformats.org/officeDocument/2006/relationships/hyperlink" Target="https://sveden.ncfu.ru/sveden/education/programs/razrabotka-i-soprovoghdenie-programmnogo-obespecheniya-09.03.04.html" TargetMode="External"/><Relationship Id="rId20" Type="http://schemas.openxmlformats.org/officeDocument/2006/relationships/hyperlink" Target="https://kpfu.ru/chelny/abitur/bachelor/napravleniya-podgotovki-specialnosti/090303-prikladnaya-informatika" TargetMode="External"/><Relationship Id="rId21" Type="http://schemas.openxmlformats.org/officeDocument/2006/relationships/hyperlink" Target="https://rgsu.net/abitur/" TargetMode="External"/><Relationship Id="rId22" Type="http://schemas.openxmlformats.org/officeDocument/2006/relationships/hyperlink" Target="https://idpo.rgsu.net/" TargetMode="External"/><Relationship Id="rId23" Type="http://schemas.openxmlformats.org/officeDocument/2006/relationships/hyperlink" Target="https://www.w3.org/TR/WCAG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развитие образовательного навигатора</dc:title>
  <dc:subject>Проект Ресоциализация участников СВО   Версия 2.0</dc:subject>
  <dc:creator>Проект Ресоциализация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