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2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实验四全连接神经网络分类器实验报告"/>
    <w:p>
      <w:pPr>
        <w:pStyle w:val="Heading1"/>
      </w:pPr>
      <w:r>
        <w:t xml:space="preserve">实验四：全连接神经网络分类器实验报告</w:t>
      </w:r>
    </w:p>
    <w:bookmarkStart w:id="20" w:name="一实验目的"/>
    <w:p>
      <w:pPr>
        <w:pStyle w:val="Heading2"/>
      </w:pPr>
      <w:r>
        <w:t xml:space="preserve">一、实验目的</w:t>
      </w:r>
    </w:p>
    <w:p>
      <w:pPr>
        <w:pStyle w:val="FirstParagraph"/>
      </w:pPr>
      <w:r>
        <w:t xml:space="preserve">本实验要求掌握全连接神经网络分类器的训练与测试方法，理解特征标准化、隐藏层结构、交叉熵损失、早停策略和 ACC 分类评价指标。</w:t>
      </w:r>
    </w:p>
    <w:bookmarkEnd w:id="20"/>
    <w:bookmarkStart w:id="21" w:name="二实验环境"/>
    <w:p>
      <w:pPr>
        <w:pStyle w:val="Heading2"/>
      </w:pPr>
      <w:r>
        <w:t xml:space="preserve">二、实验环境</w:t>
      </w:r>
    </w:p>
    <w:p>
      <w:pPr>
        <w:numPr>
          <w:ilvl w:val="0"/>
          <w:numId w:val="1001"/>
        </w:numPr>
        <w:pStyle w:val="Compact"/>
      </w:pPr>
      <w:r>
        <w:t xml:space="preserve">操作系统：macOS</w:t>
      </w:r>
    </w:p>
    <w:p>
      <w:pPr>
        <w:numPr>
          <w:ilvl w:val="0"/>
          <w:numId w:val="1001"/>
        </w:numPr>
        <w:pStyle w:val="Compact"/>
      </w:pPr>
      <w:r>
        <w:t xml:space="preserve">Python：3.10 及以上，本机验证使用</w:t>
      </w:r>
      <w:r>
        <w:t xml:space="preserve"> </w:t>
      </w:r>
      <w:r>
        <w:rPr>
          <w:rStyle w:val="VerbatimChar"/>
        </w:rPr>
        <w:t xml:space="preserve">/Volumes/Work/opt/anaconda3/bin/python3</w:t>
      </w:r>
    </w:p>
    <w:p>
      <w:pPr>
        <w:numPr>
          <w:ilvl w:val="0"/>
          <w:numId w:val="1001"/>
        </w:numPr>
        <w:pStyle w:val="Compact"/>
      </w:pPr>
      <w:r>
        <w:t xml:space="preserve">主要依赖：numpy、scipy、scikit-learn、pandas、matplotlib</w:t>
      </w:r>
    </w:p>
    <w:p>
      <w:pPr>
        <w:numPr>
          <w:ilvl w:val="0"/>
          <w:numId w:val="1001"/>
        </w:numPr>
        <w:pStyle w:val="Compact"/>
      </w:pPr>
      <w:r>
        <w:t xml:space="preserve">源码目录：</w:t>
      </w:r>
      <w:r>
        <w:rPr>
          <w:rStyle w:val="VerbatimChar"/>
        </w:rPr>
        <w:t xml:space="preserve">源码/</w:t>
      </w:r>
    </w:p>
    <w:p>
      <w:pPr>
        <w:numPr>
          <w:ilvl w:val="0"/>
          <w:numId w:val="1001"/>
        </w:numPr>
        <w:pStyle w:val="Compact"/>
      </w:pPr>
      <w:r>
        <w:t xml:space="preserve">环境文件：</w:t>
      </w:r>
      <w:r>
        <w:rPr>
          <w:rStyle w:val="VerbatimChar"/>
        </w:rPr>
        <w:t xml:space="preserve">源码/environment.yml</w:t>
      </w:r>
    </w:p>
    <w:p>
      <w:pPr>
        <w:pStyle w:val="FirstParagraph"/>
      </w:pPr>
      <w:r>
        <w:t xml:space="preserve">运行命令：</w:t>
      </w:r>
    </w:p>
    <w:p>
      <w:pPr>
        <w:pStyle w:val="SourceCode"/>
      </w:pPr>
      <w:r>
        <w:rPr>
          <w:rStyle w:val="BuiltInTok"/>
        </w:rPr>
        <w:t xml:space="preserve">cd</w:t>
      </w:r>
      <w:r>
        <w:rPr>
          <w:rStyle w:val="NormalTok"/>
        </w:rPr>
        <w:t xml:space="preserve"> /Volumes/Work/学习/作业/机器学习/结果/实验报告/实验四神经网络/源码</w:t>
      </w:r>
      <w:r>
        <w:br/>
      </w:r>
      <w:r>
        <w:rPr>
          <w:rStyle w:val="ExtensionTok"/>
        </w:rPr>
        <w:t xml:space="preserve">python</w:t>
      </w:r>
      <w:r>
        <w:rPr>
          <w:rStyle w:val="NormalTok"/>
        </w:rPr>
        <w:t xml:space="preserve"> run_experiment.py </w:t>
      </w:r>
      <w:r>
        <w:rPr>
          <w:rStyle w:val="DataTypeTok"/>
        </w:rPr>
        <w:t xml:space="preserve">\</w:t>
      </w:r>
      <w:r>
        <w:br/>
      </w:r>
      <w:r>
        <w:rPr>
          <w:rStyle w:val="NormalTok"/>
        </w:rPr>
        <w:t xml:space="preserve">  </w:t>
      </w:r>
      <w:r>
        <w:rPr>
          <w:rStyle w:val="AttributeTok"/>
        </w:rPr>
        <w:t xml:space="preserve">--experiment-root</w:t>
      </w:r>
      <w:r>
        <w:rPr>
          <w:rStyle w:val="NormalTok"/>
        </w:rPr>
        <w:t xml:space="preserve"> /Volumes/Work/学习/作业/机器学习/实验 </w:t>
      </w:r>
      <w:r>
        <w:rPr>
          <w:rStyle w:val="DataTypeTok"/>
        </w:rPr>
        <w:t xml:space="preserve">\</w:t>
      </w:r>
      <w:r>
        <w:br/>
      </w:r>
      <w:r>
        <w:rPr>
          <w:rStyle w:val="NormalTok"/>
        </w:rPr>
        <w:t xml:space="preserve">  </w:t>
      </w:r>
      <w:r>
        <w:rPr>
          <w:rStyle w:val="AttributeTok"/>
        </w:rPr>
        <w:t xml:space="preserve">--output-dir</w:t>
      </w:r>
      <w:r>
        <w:rPr>
          <w:rStyle w:val="NormalTok"/>
        </w:rPr>
        <w:t xml:space="preserve"> outputs</w:t>
      </w:r>
    </w:p>
    <w:bookmarkEnd w:id="21"/>
    <w:bookmarkStart w:id="22" w:name="三实验数据"/>
    <w:p>
      <w:pPr>
        <w:pStyle w:val="Heading2"/>
      </w:pPr>
      <w:r>
        <w:t xml:space="preserve">三、实验数据</w:t>
      </w:r>
    </w:p>
    <w:p>
      <w:pPr>
        <w:pStyle w:val="FirstParagraph"/>
      </w:pPr>
      <w:r>
        <w:t xml:space="preserve">实验使用原始实验目录中的三个数据集：</w:t>
      </w:r>
    </w:p>
    <w:tbl>
      <w:tblPr>
        <w:tblStyle w:val="Table"/>
        <w:tblW w:type="pct" w:w="0.0"/>
        <w:tblLook w:firstRow="1" w:lastRow="0" w:firstColumn="0" w:lastColumn="0" w:noHBand="0" w:noVBand="0" w:val="0020"/>
      </w:tblPr>
      <w:tblGrid/>
      <w:tr>
        <w:tc>
          <w:p>
            <w:pPr>
              <w:pStyle w:val="Compact"/>
              <w:jc w:val="left"/>
            </w:pPr>
            <w:r>
              <w:t xml:space="preserve">数据集</w:t>
            </w:r>
          </w:p>
        </w:tc>
        <w:tc>
          <w:p>
            <w:pPr>
              <w:pStyle w:val="Compact"/>
              <w:jc w:val="right"/>
            </w:pPr>
            <w:r>
              <w:t xml:space="preserve">样本数</w:t>
            </w:r>
          </w:p>
        </w:tc>
        <w:tc>
          <w:p>
            <w:pPr>
              <w:pStyle w:val="Compact"/>
              <w:jc w:val="right"/>
            </w:pPr>
            <w:r>
              <w:t xml:space="preserve">维度</w:t>
            </w:r>
          </w:p>
        </w:tc>
        <w:tc>
          <w:p>
            <w:pPr>
              <w:pStyle w:val="Compact"/>
              <w:jc w:val="right"/>
            </w:pPr>
            <w:r>
              <w:t xml:space="preserve">类数</w:t>
            </w:r>
          </w:p>
        </w:tc>
        <w:tc>
          <w:p>
            <w:pPr>
              <w:pStyle w:val="Compact"/>
              <w:jc w:val="left"/>
            </w:pPr>
            <w:r>
              <w:t xml:space="preserve">数据类型</w:t>
            </w:r>
          </w:p>
        </w:tc>
      </w:tr>
      <w:tr>
        <w:tc>
          <w:p>
            <w:pPr>
              <w:pStyle w:val="Compact"/>
              <w:jc w:val="left"/>
            </w:pPr>
            <w:r>
              <w:t xml:space="preserve">MNIST</w:t>
            </w:r>
          </w:p>
        </w:tc>
        <w:tc>
          <w:p>
            <w:pPr>
              <w:pStyle w:val="Compact"/>
              <w:jc w:val="right"/>
            </w:pPr>
            <w:r>
              <w:t xml:space="preserve">3000</w:t>
            </w:r>
          </w:p>
        </w:tc>
        <w:tc>
          <w:p>
            <w:pPr>
              <w:pStyle w:val="Compact"/>
              <w:jc w:val="right"/>
            </w:pPr>
            <w:r>
              <w:t xml:space="preserve">784</w:t>
            </w:r>
          </w:p>
        </w:tc>
        <w:tc>
          <w:p>
            <w:pPr>
              <w:pStyle w:val="Compact"/>
              <w:jc w:val="right"/>
            </w:pPr>
            <w:r>
              <w:t xml:space="preserve">10</w:t>
            </w:r>
          </w:p>
        </w:tc>
        <w:tc>
          <w:p>
            <w:pPr>
              <w:pStyle w:val="Compact"/>
              <w:jc w:val="left"/>
            </w:pPr>
            <w:r>
              <w:t xml:space="preserve">手写体数字</w:t>
            </w:r>
          </w:p>
        </w:tc>
      </w:tr>
      <w:tr>
        <w:tc>
          <w:p>
            <w:pPr>
              <w:pStyle w:val="Compact"/>
              <w:jc w:val="left"/>
            </w:pPr>
            <w:r>
              <w:t xml:space="preserve">Yale</w:t>
            </w:r>
          </w:p>
        </w:tc>
        <w:tc>
          <w:p>
            <w:pPr>
              <w:pStyle w:val="Compact"/>
              <w:jc w:val="right"/>
            </w:pPr>
            <w:r>
              <w:t xml:space="preserve">165</w:t>
            </w:r>
          </w:p>
        </w:tc>
        <w:tc>
          <w:p>
            <w:pPr>
              <w:pStyle w:val="Compact"/>
              <w:jc w:val="right"/>
            </w:pPr>
            <w:r>
              <w:t xml:space="preserve">1024</w:t>
            </w:r>
          </w:p>
        </w:tc>
        <w:tc>
          <w:p>
            <w:pPr>
              <w:pStyle w:val="Compact"/>
              <w:jc w:val="right"/>
            </w:pPr>
            <w:r>
              <w:t xml:space="preserve">15</w:t>
            </w:r>
          </w:p>
        </w:tc>
        <w:tc>
          <w:p>
            <w:pPr>
              <w:pStyle w:val="Compact"/>
              <w:jc w:val="left"/>
            </w:pPr>
            <w:r>
              <w:t xml:space="preserve">人脸图像</w:t>
            </w:r>
          </w:p>
        </w:tc>
      </w:tr>
      <w:tr>
        <w:tc>
          <w:p>
            <w:pPr>
              <w:pStyle w:val="Compact"/>
              <w:jc w:val="left"/>
            </w:pPr>
            <w:r>
              <w:t xml:space="preserve">lung</w:t>
            </w:r>
          </w:p>
        </w:tc>
        <w:tc>
          <w:p>
            <w:pPr>
              <w:pStyle w:val="Compact"/>
              <w:jc w:val="right"/>
            </w:pPr>
            <w:r>
              <w:t xml:space="preserve">203</w:t>
            </w:r>
          </w:p>
        </w:tc>
        <w:tc>
          <w:p>
            <w:pPr>
              <w:pStyle w:val="Compact"/>
              <w:jc w:val="right"/>
            </w:pPr>
            <w:r>
              <w:t xml:space="preserve">3312</w:t>
            </w:r>
          </w:p>
        </w:tc>
        <w:tc>
          <w:p>
            <w:pPr>
              <w:pStyle w:val="Compact"/>
              <w:jc w:val="right"/>
            </w:pPr>
            <w:r>
              <w:t xml:space="preserve">5</w:t>
            </w:r>
          </w:p>
        </w:tc>
        <w:tc>
          <w:p>
            <w:pPr>
              <w:pStyle w:val="Compact"/>
              <w:jc w:val="left"/>
            </w:pPr>
            <w:r>
              <w:t xml:space="preserve">生物数据</w:t>
            </w:r>
          </w:p>
        </w:tc>
      </w:tr>
    </w:tbl>
    <w:bookmarkEnd w:id="22"/>
    <w:bookmarkStart w:id="23" w:name="四方法原理"/>
    <w:p>
      <w:pPr>
        <w:pStyle w:val="Heading2"/>
      </w:pPr>
      <w:r>
        <w:t xml:space="preserve">四、方法原理</w:t>
      </w:r>
    </w:p>
    <w:p>
      <w:pPr>
        <w:pStyle w:val="FirstParagraph"/>
      </w:pPr>
      <w:r>
        <w:t xml:space="preserve">实验采用单隐藏层全连接神经网络。隐藏层使用 ReLU 激活函数，输出层用于多分类预测，训练目标为多分类交叉熵。程序使用 Adam 优化器，并结合早停策略减少过拟合。训练前对特征进行标准化，图像数据在需要时进行像素归一化。</w:t>
      </w:r>
    </w:p>
    <w:bookmarkEnd w:id="23"/>
    <w:bookmarkStart w:id="24" w:name="五实验步骤"/>
    <w:p>
      <w:pPr>
        <w:pStyle w:val="Heading2"/>
      </w:pPr>
      <w:r>
        <w:t xml:space="preserve">五、实验步骤</w:t>
      </w:r>
    </w:p>
    <w:p>
      <w:pPr>
        <w:numPr>
          <w:ilvl w:val="0"/>
          <w:numId w:val="1002"/>
        </w:numPr>
        <w:pStyle w:val="Compact"/>
      </w:pPr>
      <w:r>
        <w:t xml:space="preserve">读取 MNIST、Yale、lung 三个</w:t>
      </w:r>
      <w:r>
        <w:t xml:space="preserve"> </w:t>
      </w:r>
      <w:r>
        <w:rPr>
          <w:rStyle w:val="VerbatimChar"/>
        </w:rPr>
        <w:t xml:space="preserve">.mat</w:t>
      </w:r>
      <w:r>
        <w:t xml:space="preserve"> </w:t>
      </w:r>
      <w:r>
        <w:t xml:space="preserve">数据集；</w:t>
      </w:r>
    </w:p>
    <w:p>
      <w:pPr>
        <w:numPr>
          <w:ilvl w:val="0"/>
          <w:numId w:val="1002"/>
        </w:numPr>
        <w:pStyle w:val="Compact"/>
      </w:pPr>
      <w:r>
        <w:t xml:space="preserve">对图像像素和特征进行归一化、标准化；</w:t>
      </w:r>
    </w:p>
    <w:p>
      <w:pPr>
        <w:numPr>
          <w:ilvl w:val="0"/>
          <w:numId w:val="1002"/>
        </w:numPr>
        <w:pStyle w:val="Compact"/>
      </w:pPr>
      <w:r>
        <w:t xml:space="preserve">按 7:3 分层划分训练集和测试集；</w:t>
      </w:r>
    </w:p>
    <w:p>
      <w:pPr>
        <w:numPr>
          <w:ilvl w:val="0"/>
          <w:numId w:val="1002"/>
        </w:numPr>
        <w:pStyle w:val="Compact"/>
      </w:pPr>
      <w:r>
        <w:t xml:space="preserve">针对不同数据集设置隐藏层规模；</w:t>
      </w:r>
    </w:p>
    <w:p>
      <w:pPr>
        <w:numPr>
          <w:ilvl w:val="0"/>
          <w:numId w:val="1002"/>
        </w:numPr>
        <w:pStyle w:val="Compact"/>
      </w:pPr>
      <w:r>
        <w:t xml:space="preserve">训练 MLPClassifier 并记录迭代次数、loss 和测试准确率；</w:t>
      </w:r>
    </w:p>
    <w:p>
      <w:pPr>
        <w:numPr>
          <w:ilvl w:val="0"/>
          <w:numId w:val="1002"/>
        </w:numPr>
        <w:pStyle w:val="Compact"/>
      </w:pPr>
      <w:r>
        <w:t xml:space="preserve">绘制各数据集混淆矩阵、部分预测样例和准确率汇总图。</w:t>
      </w:r>
    </w:p>
    <w:bookmarkEnd w:id="24"/>
    <w:bookmarkStart w:id="29" w:name="六实验结果"/>
    <w:p>
      <w:pPr>
        <w:pStyle w:val="Heading2"/>
      </w:pPr>
      <w:r>
        <w:t xml:space="preserve">六、实验结果</w:t>
      </w:r>
    </w:p>
    <w:tbl>
      <w:tblPr>
        <w:tblStyle w:val="Table"/>
        <w:tblW w:type="pct" w:w="0.0"/>
        <w:tblLook w:firstRow="1" w:lastRow="0" w:firstColumn="0" w:lastColumn="0" w:noHBand="0" w:noVBand="0" w:val="0020"/>
      </w:tblPr>
      <w:tblGrid/>
      <w:tr>
        <w:tc>
          <w:p>
            <w:pPr>
              <w:pStyle w:val="Compact"/>
              <w:jc w:val="left"/>
            </w:pPr>
            <w:r>
              <w:t xml:space="preserve">数据集</w:t>
            </w:r>
          </w:p>
        </w:tc>
        <w:tc>
          <w:p>
            <w:pPr>
              <w:pStyle w:val="Compact"/>
              <w:jc w:val="left"/>
            </w:pPr>
            <w:r>
              <w:t xml:space="preserve">隐藏层</w:t>
            </w:r>
          </w:p>
        </w:tc>
        <w:tc>
          <w:p>
            <w:pPr>
              <w:pStyle w:val="Compact"/>
              <w:jc w:val="right"/>
            </w:pPr>
            <w:r>
              <w:t xml:space="preserve">迭代次数</w:t>
            </w:r>
          </w:p>
        </w:tc>
        <w:tc>
          <w:p>
            <w:pPr>
              <w:pStyle w:val="Compact"/>
              <w:jc w:val="right"/>
            </w:pPr>
            <w:r>
              <w:t xml:space="preserve">loss</w:t>
            </w:r>
          </w:p>
        </w:tc>
        <w:tc>
          <w:p>
            <w:pPr>
              <w:pStyle w:val="Compact"/>
              <w:jc w:val="right"/>
            </w:pPr>
            <w:r>
              <w:t xml:space="preserve">测试 ACC</w:t>
            </w:r>
          </w:p>
        </w:tc>
      </w:tr>
      <w:tr>
        <w:tc>
          <w:p>
            <w:pPr>
              <w:pStyle w:val="Compact"/>
              <w:jc w:val="left"/>
            </w:pPr>
            <w:r>
              <w:t xml:space="preserve">MNIST</w:t>
            </w:r>
          </w:p>
        </w:tc>
        <w:tc>
          <w:p>
            <w:pPr>
              <w:pStyle w:val="Compact"/>
              <w:jc w:val="left"/>
            </w:pPr>
            <w:r>
              <w:t xml:space="preserve">(128,)</w:t>
            </w:r>
          </w:p>
        </w:tc>
        <w:tc>
          <w:p>
            <w:pPr>
              <w:pStyle w:val="Compact"/>
              <w:jc w:val="right"/>
            </w:pPr>
            <w:r>
              <w:t xml:space="preserve">21</w:t>
            </w:r>
          </w:p>
        </w:tc>
        <w:tc>
          <w:p>
            <w:pPr>
              <w:pStyle w:val="Compact"/>
              <w:jc w:val="right"/>
            </w:pPr>
            <w:r>
              <w:t xml:space="preserve">0.0062</w:t>
            </w:r>
          </w:p>
        </w:tc>
        <w:tc>
          <w:p>
            <w:pPr>
              <w:pStyle w:val="Compact"/>
              <w:jc w:val="right"/>
            </w:pPr>
            <w:r>
              <w:t xml:space="preserve">0.9033</w:t>
            </w:r>
          </w:p>
        </w:tc>
      </w:tr>
      <w:tr>
        <w:tc>
          <w:p>
            <w:pPr>
              <w:pStyle w:val="Compact"/>
              <w:jc w:val="left"/>
            </w:pPr>
            <w:r>
              <w:t xml:space="preserve">Yale</w:t>
            </w:r>
          </w:p>
        </w:tc>
        <w:tc>
          <w:p>
            <w:pPr>
              <w:pStyle w:val="Compact"/>
              <w:jc w:val="left"/>
            </w:pPr>
            <w:r>
              <w:t xml:space="preserve">(64,)</w:t>
            </w:r>
          </w:p>
        </w:tc>
        <w:tc>
          <w:p>
            <w:pPr>
              <w:pStyle w:val="Compact"/>
              <w:jc w:val="right"/>
            </w:pPr>
            <w:r>
              <w:t xml:space="preserve">21</w:t>
            </w:r>
          </w:p>
        </w:tc>
        <w:tc>
          <w:p>
            <w:pPr>
              <w:pStyle w:val="Compact"/>
              <w:jc w:val="right"/>
            </w:pPr>
            <w:r>
              <w:t xml:space="preserve">0.0152</w:t>
            </w:r>
          </w:p>
        </w:tc>
        <w:tc>
          <w:p>
            <w:pPr>
              <w:pStyle w:val="Compact"/>
              <w:jc w:val="right"/>
            </w:pPr>
            <w:r>
              <w:t xml:space="preserve">0.5600</w:t>
            </w:r>
          </w:p>
        </w:tc>
      </w:tr>
      <w:tr>
        <w:tc>
          <w:p>
            <w:pPr>
              <w:pStyle w:val="Compact"/>
              <w:jc w:val="left"/>
            </w:pPr>
            <w:r>
              <w:t xml:space="preserve">lung</w:t>
            </w:r>
          </w:p>
        </w:tc>
        <w:tc>
          <w:p>
            <w:pPr>
              <w:pStyle w:val="Compact"/>
              <w:jc w:val="left"/>
            </w:pPr>
            <w:r>
              <w:t xml:space="preserve">(48,)</w:t>
            </w:r>
          </w:p>
        </w:tc>
        <w:tc>
          <w:p>
            <w:pPr>
              <w:pStyle w:val="Compact"/>
              <w:jc w:val="right"/>
            </w:pPr>
            <w:r>
              <w:t xml:space="preserve">14</w:t>
            </w:r>
          </w:p>
        </w:tc>
        <w:tc>
          <w:p>
            <w:pPr>
              <w:pStyle w:val="Compact"/>
              <w:jc w:val="right"/>
            </w:pPr>
            <w:r>
              <w:t xml:space="preserve">0.0003</w:t>
            </w:r>
          </w:p>
        </w:tc>
        <w:tc>
          <w:p>
            <w:pPr>
              <w:pStyle w:val="Compact"/>
              <w:jc w:val="right"/>
            </w:pPr>
            <w:r>
              <w:t xml:space="preserve">0.8197</w:t>
            </w:r>
          </w:p>
        </w:tc>
      </w:tr>
    </w:tbl>
    <w:p>
      <w:pPr>
        <w:pStyle w:val="BodyText"/>
      </w:pPr>
      <w:r>
        <w:t xml:space="preserve">准确率汇总：</w:t>
      </w:r>
    </w:p>
    <w:p>
      <w:pPr>
        <w:pStyle w:val="CaptionedFigure"/>
      </w:pPr>
      <w:r>
        <w:drawing>
          <wp:inline>
            <wp:extent cx="5334000" cy="3556000"/>
            <wp:effectExtent b="0" l="0" r="0" t="0"/>
            <wp:docPr descr="神经网络准确率汇总" title="" id="1" name="Picture"/>
            <a:graphic>
              <a:graphicData uri="http://schemas.openxmlformats.org/drawingml/2006/picture">
                <pic:pic>
                  <pic:nvPicPr>
                    <pic:cNvPr descr="源码/outputs/figures/nn_accuracy_summary.png" id="0" name="Picture"/>
                    <pic:cNvPicPr>
                      <a:picLocks noChangeArrowheads="1" noChangeAspect="1"/>
                    </pic:cNvPicPr>
                  </pic:nvPicPr>
                  <pic:blipFill>
                    <a:blip r:embed="rId2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神经网络准确率汇总</w:t>
      </w:r>
    </w:p>
    <w:p>
      <w:pPr>
        <w:pStyle w:val="BodyText"/>
      </w:pPr>
      <w:r>
        <w:t xml:space="preserve">MNIST 混淆矩阵：</w:t>
      </w:r>
    </w:p>
    <w:p>
      <w:pPr>
        <w:pStyle w:val="CaptionedFigure"/>
      </w:pPr>
      <w:r>
        <w:drawing>
          <wp:inline>
            <wp:extent cx="5334000" cy="4572000"/>
            <wp:effectExtent b="0" l="0" r="0" t="0"/>
            <wp:docPr descr="MNIST 混淆矩阵" title="" id="1" name="Picture"/>
            <a:graphic>
              <a:graphicData uri="http://schemas.openxmlformats.org/drawingml/2006/picture">
                <pic:pic>
                  <pic:nvPicPr>
                    <pic:cNvPr descr="源码/outputs/figures/nn_mnist_confusion_matrix.png" id="0" name="Picture"/>
                    <pic:cNvPicPr>
                      <a:picLocks noChangeArrowheads="1" noChangeAspect="1"/>
                    </pic:cNvPicPr>
                  </pic:nvPicPr>
                  <pic:blipFill>
                    <a:blip r:embed="rId26"/>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MNIST 混淆矩阵</w:t>
      </w:r>
    </w:p>
    <w:p>
      <w:pPr>
        <w:pStyle w:val="BodyText"/>
      </w:pPr>
      <w:r>
        <w:t xml:space="preserve">Yale 混淆矩阵：</w:t>
      </w:r>
    </w:p>
    <w:p>
      <w:pPr>
        <w:pStyle w:val="CaptionedFigure"/>
      </w:pPr>
      <w:r>
        <w:drawing>
          <wp:inline>
            <wp:extent cx="5334000" cy="4572000"/>
            <wp:effectExtent b="0" l="0" r="0" t="0"/>
            <wp:docPr descr="Yale 混淆矩阵" title="" id="1" name="Picture"/>
            <a:graphic>
              <a:graphicData uri="http://schemas.openxmlformats.org/drawingml/2006/picture">
                <pic:pic>
                  <pic:nvPicPr>
                    <pic:cNvPr descr="源码/outputs/figures/nn_yale_confusion_matrix.png" id="0" name="Picture"/>
                    <pic:cNvPicPr>
                      <a:picLocks noChangeArrowheads="1" noChangeAspect="1"/>
                    </pic:cNvPicPr>
                  </pic:nvPicPr>
                  <pic:blipFill>
                    <a:blip r:embed="rId27"/>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Yale 混淆矩阵</w:t>
      </w:r>
    </w:p>
    <w:p>
      <w:pPr>
        <w:pStyle w:val="BodyText"/>
      </w:pPr>
      <w:r>
        <w:t xml:space="preserve">lung 混淆矩阵：</w:t>
      </w:r>
    </w:p>
    <w:p>
      <w:pPr>
        <w:pStyle w:val="CaptionedFigure"/>
      </w:pPr>
      <w:r>
        <w:drawing>
          <wp:inline>
            <wp:extent cx="5334000" cy="4572000"/>
            <wp:effectExtent b="0" l="0" r="0" t="0"/>
            <wp:docPr descr="lung 混淆矩阵" title="" id="1" name="Picture"/>
            <a:graphic>
              <a:graphicData uri="http://schemas.openxmlformats.org/drawingml/2006/picture">
                <pic:pic>
                  <pic:nvPicPr>
                    <pic:cNvPr descr="源码/outputs/figures/nn_lung_confusion_matrix.png" id="0" name="Picture"/>
                    <pic:cNvPicPr>
                      <a:picLocks noChangeArrowheads="1" noChangeAspect="1"/>
                    </pic:cNvPicPr>
                  </pic:nvPicPr>
                  <pic:blipFill>
                    <a:blip r:embed="rId28"/>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lung 混淆矩阵</w:t>
      </w:r>
    </w:p>
    <w:bookmarkEnd w:id="29"/>
    <w:bookmarkStart w:id="30" w:name="七结果分析"/>
    <w:p>
      <w:pPr>
        <w:pStyle w:val="Heading2"/>
      </w:pPr>
      <w:r>
        <w:t xml:space="preserve">七、结果分析</w:t>
      </w:r>
    </w:p>
    <w:p>
      <w:pPr>
        <w:pStyle w:val="FirstParagraph"/>
      </w:pPr>
      <w:r>
        <w:t xml:space="preserve">神经网络在 MNIST 上取得 0.9033 的测试准确率，说明全连接网络能够较好学习数字图像中的判别结构。Yale 数据集样本数少且类别较多，测试准确率低于 MNIST，说明小样本人脸识别更容易受到过拟合和类间相似性的影响。lung 数据虽然维度高，但类别结构较明显，最终测试准确率达到 0.8197。</w:t>
      </w:r>
    </w:p>
    <w:bookmarkEnd w:id="30"/>
    <w:bookmarkStart w:id="31" w:name="八文件说明"/>
    <w:p>
      <w:pPr>
        <w:pStyle w:val="Heading2"/>
      </w:pPr>
      <w:r>
        <w:t xml:space="preserve">八、文件说明</w:t>
      </w:r>
    </w:p>
    <w:p>
      <w:pPr>
        <w:numPr>
          <w:ilvl w:val="0"/>
          <w:numId w:val="1003"/>
        </w:numPr>
        <w:pStyle w:val="Compact"/>
      </w:pPr>
      <w:r>
        <w:t xml:space="preserve">源码入口：</w:t>
      </w:r>
      <w:r>
        <w:rPr>
          <w:rStyle w:val="VerbatimChar"/>
        </w:rPr>
        <w:t xml:space="preserve">源码/run_experiment.py</w:t>
      </w:r>
    </w:p>
    <w:p>
      <w:pPr>
        <w:numPr>
          <w:ilvl w:val="0"/>
          <w:numId w:val="1003"/>
        </w:numPr>
        <w:pStyle w:val="Compact"/>
      </w:pPr>
      <w:r>
        <w:t xml:space="preserve">核心实现：</w:t>
      </w:r>
      <w:r>
        <w:rPr>
          <w:rStyle w:val="VerbatimChar"/>
        </w:rPr>
        <w:t xml:space="preserve">源码/src/neural_network_lab.py</w:t>
      </w:r>
    </w:p>
    <w:p>
      <w:pPr>
        <w:numPr>
          <w:ilvl w:val="0"/>
          <w:numId w:val="1003"/>
        </w:numPr>
        <w:pStyle w:val="Compact"/>
      </w:pPr>
      <w:r>
        <w:t xml:space="preserve">公共工具：</w:t>
      </w:r>
      <w:r>
        <w:rPr>
          <w:rStyle w:val="VerbatimChar"/>
        </w:rPr>
        <w:t xml:space="preserve">源码/src/common.py</w:t>
      </w:r>
    </w:p>
    <w:p>
      <w:pPr>
        <w:numPr>
          <w:ilvl w:val="0"/>
          <w:numId w:val="1003"/>
        </w:numPr>
        <w:pStyle w:val="Compact"/>
      </w:pPr>
      <w:r>
        <w:t xml:space="preserve">指标文件：</w:t>
      </w:r>
      <w:r>
        <w:rPr>
          <w:rStyle w:val="VerbatimChar"/>
        </w:rPr>
        <w:t xml:space="preserve">源码/outputs/neural_network_metrics.csv</w:t>
      </w:r>
    </w:p>
    <w:p>
      <w:pPr>
        <w:numPr>
          <w:ilvl w:val="0"/>
          <w:numId w:val="1003"/>
        </w:numPr>
        <w:pStyle w:val="Compact"/>
      </w:pPr>
      <w:r>
        <w:t xml:space="preserve">图像目录：</w:t>
      </w:r>
      <w:r>
        <w:rPr>
          <w:rStyle w:val="VerbatimChar"/>
        </w:rPr>
        <w:t xml:space="preserve">源码/outputs/figures/</w:t>
      </w:r>
    </w:p>
    <w:bookmarkEnd w:id="31"/>
    <w:bookmarkStart w:id="32" w:name="九结论"/>
    <w:p>
      <w:pPr>
        <w:pStyle w:val="Heading2"/>
      </w:pPr>
      <w:r>
        <w:t xml:space="preserve">九、结论</w:t>
      </w:r>
    </w:p>
    <w:p>
      <w:pPr>
        <w:pStyle w:val="FirstParagraph"/>
      </w:pPr>
      <w:r>
        <w:t xml:space="preserve">本实验完成了全连接神经网络分类器在图像数据和生物数据上的训练与测试。实验结果表明，神经网络对数据规模和类别结构较敏感，在样本较充足、类别模式较清晰的数据上表现更稳定。</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6" Target="media/rId26.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2026-05-21T05:59:43Z</dcterms:created>
  <dcterms:modified xsi:type="dcterms:W3CDTF">2026-05-21T05:59:43Z</dcterms:modified>
</cp:coreProperties>
</file>

<file path=docProps/custom.xml><?xml version="1.0" encoding="utf-8"?>
<Properties xmlns="http://schemas.openxmlformats.org/officeDocument/2006/custom-properties" xmlns:vt="http://schemas.openxmlformats.org/officeDocument/2006/docPropsVTypes"/>
</file>